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BD" w:rsidRPr="00F66578" w:rsidRDefault="001D14BD" w:rsidP="007D46DB">
      <w:pPr>
        <w:spacing w:line="240" w:lineRule="auto"/>
        <w:jc w:val="center"/>
        <w:outlineLvl w:val="0"/>
        <w:rPr>
          <w:b/>
          <w:sz w:val="28"/>
          <w:lang w:eastAsia="ru-RU"/>
        </w:rPr>
      </w:pPr>
      <w:bookmarkStart w:id="0" w:name="_GoBack"/>
      <w:bookmarkEnd w:id="0"/>
    </w:p>
    <w:p w:rsidR="005E5758" w:rsidRPr="00F66578" w:rsidRDefault="005E5758" w:rsidP="007D46DB">
      <w:pPr>
        <w:spacing w:line="240" w:lineRule="auto"/>
        <w:jc w:val="center"/>
        <w:outlineLvl w:val="0"/>
        <w:rPr>
          <w:b/>
          <w:sz w:val="28"/>
          <w:lang w:eastAsia="ru-RU"/>
        </w:rPr>
      </w:pPr>
      <w:bookmarkStart w:id="1" w:name="_Toc136279332"/>
      <w:r w:rsidRPr="00F66578">
        <w:rPr>
          <w:b/>
          <w:sz w:val="28"/>
          <w:lang w:eastAsia="ru-RU"/>
        </w:rPr>
        <w:t>Раздел 5. Целевые показатели развития коммунальной инфраструктуры</w:t>
      </w:r>
      <w:bookmarkEnd w:id="1"/>
    </w:p>
    <w:p w:rsidR="00C324AA" w:rsidRPr="00F66578" w:rsidRDefault="00C324AA" w:rsidP="007D46DB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66578">
        <w:rPr>
          <w:rFonts w:eastAsia="Times New Roman" w:cs="Times New Roman"/>
          <w:szCs w:val="24"/>
          <w:lang w:eastAsia="ru-RU"/>
        </w:rPr>
        <w:t>Комплексное развитие систем коммунальной инфраструктуры характеризуется следующими группами показателей, отражающих потребность города Норильска в качественных коммунальных услугах:</w:t>
      </w:r>
    </w:p>
    <w:p w:rsidR="00C324AA" w:rsidRPr="00F66578" w:rsidRDefault="00C324AA" w:rsidP="007D46DB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66578">
        <w:rPr>
          <w:rFonts w:eastAsia="Times New Roman" w:cs="Times New Roman"/>
          <w:szCs w:val="24"/>
          <w:lang w:eastAsia="ru-RU"/>
        </w:rPr>
        <w:t>• надежность (бесперебойность) снабжения потребителей товарами</w:t>
      </w:r>
      <w:r w:rsidR="005B7A20" w:rsidRPr="00F66578">
        <w:rPr>
          <w:rFonts w:eastAsia="Times New Roman" w:cs="Times New Roman"/>
          <w:szCs w:val="24"/>
          <w:lang w:eastAsia="ru-RU"/>
        </w:rPr>
        <w:t xml:space="preserve"> </w:t>
      </w:r>
      <w:r w:rsidRPr="00F66578">
        <w:rPr>
          <w:rFonts w:eastAsia="Times New Roman" w:cs="Times New Roman"/>
          <w:szCs w:val="24"/>
          <w:lang w:eastAsia="ru-RU"/>
        </w:rPr>
        <w:t>(услугами) организаций коммунального комплекса;</w:t>
      </w:r>
    </w:p>
    <w:p w:rsidR="00C324AA" w:rsidRPr="00F66578" w:rsidRDefault="00C324AA" w:rsidP="007D46DB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66578">
        <w:rPr>
          <w:rFonts w:eastAsia="Times New Roman" w:cs="Times New Roman"/>
          <w:szCs w:val="24"/>
          <w:lang w:eastAsia="ru-RU"/>
        </w:rPr>
        <w:t>• сбалансированность систем коммунальной инфраструктуры;</w:t>
      </w:r>
    </w:p>
    <w:p w:rsidR="00C324AA" w:rsidRPr="00F66578" w:rsidRDefault="00C324AA" w:rsidP="007D46DB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66578">
        <w:rPr>
          <w:rFonts w:eastAsia="Times New Roman" w:cs="Times New Roman"/>
          <w:szCs w:val="24"/>
          <w:lang w:eastAsia="ru-RU"/>
        </w:rPr>
        <w:t>• доступность товаров и услуг для потребителей (в том числе обеспечение</w:t>
      </w:r>
      <w:r w:rsidR="005B7A20" w:rsidRPr="00F66578">
        <w:rPr>
          <w:rFonts w:eastAsia="Times New Roman" w:cs="Times New Roman"/>
          <w:szCs w:val="24"/>
          <w:lang w:eastAsia="ru-RU"/>
        </w:rPr>
        <w:t xml:space="preserve"> </w:t>
      </w:r>
      <w:r w:rsidRPr="00F66578">
        <w:rPr>
          <w:rFonts w:eastAsia="Times New Roman" w:cs="Times New Roman"/>
          <w:szCs w:val="24"/>
          <w:lang w:eastAsia="ru-RU"/>
        </w:rPr>
        <w:t>новых потребителей товарами и услугами организаций коммунального комплекса);</w:t>
      </w:r>
    </w:p>
    <w:p w:rsidR="00C324AA" w:rsidRPr="00F66578" w:rsidRDefault="00C324AA" w:rsidP="007D46DB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66578">
        <w:rPr>
          <w:rFonts w:eastAsia="Times New Roman" w:cs="Times New Roman"/>
          <w:szCs w:val="24"/>
          <w:lang w:eastAsia="ru-RU"/>
        </w:rPr>
        <w:t>• эффективность деятельности организаций коммунального комплекса.</w:t>
      </w:r>
    </w:p>
    <w:p w:rsidR="00C324AA" w:rsidRPr="00F66578" w:rsidRDefault="00C324AA" w:rsidP="007D46DB">
      <w:pPr>
        <w:spacing w:line="240" w:lineRule="auto"/>
        <w:rPr>
          <w:lang w:eastAsia="ru-RU"/>
        </w:rPr>
      </w:pPr>
      <w:r w:rsidRPr="00F66578">
        <w:rPr>
          <w:lang w:eastAsia="ru-RU"/>
        </w:rPr>
        <w:t xml:space="preserve">Мониторинг реализации Программы комплексного развития систем коммунальной инфраструктуры осуществляется по целевым индикаторам. Индикаторы разработаны на основании </w:t>
      </w:r>
      <w:r w:rsidR="00E2511F" w:rsidRPr="00F66578">
        <w:rPr>
          <w:lang w:eastAsia="ru-RU"/>
        </w:rPr>
        <w:t>«</w:t>
      </w:r>
      <w:r w:rsidRPr="00F66578">
        <w:rPr>
          <w:lang w:eastAsia="ru-RU"/>
        </w:rPr>
        <w:t>Методических рекомендаций по разработке программ комплексного развития систем коммунальной инфраструктуры муниципальных образований</w:t>
      </w:r>
      <w:r w:rsidR="00E2511F" w:rsidRPr="00F66578">
        <w:rPr>
          <w:lang w:eastAsia="ru-RU"/>
        </w:rPr>
        <w:t>»</w:t>
      </w:r>
      <w:r w:rsidRPr="00F66578">
        <w:rPr>
          <w:lang w:eastAsia="ru-RU"/>
        </w:rPr>
        <w:t xml:space="preserve">, утверждённых Приказом Минрегиона РФ от 06.05.2011 № 204 и с учётом </w:t>
      </w:r>
      <w:r w:rsidR="00E2511F" w:rsidRPr="00F66578">
        <w:rPr>
          <w:lang w:eastAsia="ru-RU"/>
        </w:rPr>
        <w:t>«</w:t>
      </w:r>
      <w:r w:rsidRPr="00F66578">
        <w:rPr>
          <w:lang w:eastAsia="ru-RU"/>
        </w:rPr>
        <w:t>Методики проведения мониторинга выполнения производственных и инвестиционных программ организаций коммунального комплекса</w:t>
      </w:r>
      <w:r w:rsidR="00E2511F" w:rsidRPr="00F66578">
        <w:rPr>
          <w:lang w:eastAsia="ru-RU"/>
        </w:rPr>
        <w:t>»</w:t>
      </w:r>
      <w:r w:rsidRPr="00F66578">
        <w:rPr>
          <w:lang w:eastAsia="ru-RU"/>
        </w:rPr>
        <w:t>, утверждённой Приказом Минрегиона РФ от 14.04.2008 № 48.</w:t>
      </w:r>
    </w:p>
    <w:p w:rsidR="00C324AA" w:rsidRPr="00F66578" w:rsidRDefault="00C324AA" w:rsidP="007D46DB">
      <w:pPr>
        <w:spacing w:line="240" w:lineRule="auto"/>
        <w:rPr>
          <w:lang w:eastAsia="ru-RU"/>
        </w:rPr>
      </w:pPr>
      <w:r w:rsidRPr="00F66578">
        <w:rPr>
          <w:lang w:eastAsia="ru-RU"/>
        </w:rPr>
        <w:t>Значения индикаторов определяются за каждый год в течение срока реализации программы. Индикаторы отражают потребности муниципального образования в объёмах услуг организаций коммунального комплекса, с учётом уровня качества и надёжности работы систем коммунальной инфраструктуры, с учётом основных аспектов эксплуатации систем коммунальной инфраструктуры. Целевые индикаторы анализируются по каждому виду коммунальных услуг</w:t>
      </w:r>
      <w:r w:rsidR="00F8775A" w:rsidRPr="00F66578">
        <w:rPr>
          <w:lang w:eastAsia="ru-RU"/>
        </w:rPr>
        <w:t>,</w:t>
      </w:r>
      <w:r w:rsidRPr="00F66578">
        <w:rPr>
          <w:lang w:eastAsia="ru-RU"/>
        </w:rPr>
        <w:t xml:space="preserve"> периодически пересматриваются и актуализируются.</w:t>
      </w:r>
    </w:p>
    <w:p w:rsidR="005E5758" w:rsidRPr="00F66578" w:rsidRDefault="005E5758" w:rsidP="007D46DB">
      <w:pPr>
        <w:spacing w:line="240" w:lineRule="auto"/>
      </w:pPr>
    </w:p>
    <w:p w:rsidR="005E5758" w:rsidRPr="00F66578" w:rsidRDefault="005E5758" w:rsidP="007D46DB">
      <w:pPr>
        <w:spacing w:line="240" w:lineRule="auto"/>
        <w:rPr>
          <w:lang w:eastAsia="ru-RU"/>
        </w:rPr>
        <w:sectPr w:rsidR="005E5758" w:rsidRPr="00F66578" w:rsidSect="005E5758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D14BD" w:rsidRPr="0025298D" w:rsidRDefault="001D14BD" w:rsidP="001D14BD">
      <w:pPr>
        <w:spacing w:line="240" w:lineRule="auto"/>
        <w:ind w:firstLine="0"/>
        <w:jc w:val="center"/>
        <w:outlineLvl w:val="1"/>
        <w:rPr>
          <w:szCs w:val="20"/>
        </w:rPr>
      </w:pPr>
      <w:bookmarkStart w:id="2" w:name="_Toc136279333"/>
      <w:r w:rsidRPr="00F66578">
        <w:rPr>
          <w:szCs w:val="20"/>
        </w:rPr>
        <w:lastRenderedPageBreak/>
        <w:t>5</w:t>
      </w:r>
      <w:r w:rsidRPr="0025298D">
        <w:rPr>
          <w:szCs w:val="20"/>
        </w:rPr>
        <w:t>.1. Показатели и индикаторы системы электроснабжения на территории муниципального образования город Норильск</w:t>
      </w:r>
      <w:bookmarkEnd w:id="2"/>
    </w:p>
    <w:p w:rsidR="001D14BD" w:rsidRPr="0025298D" w:rsidRDefault="001D14BD" w:rsidP="007D46DB">
      <w:pPr>
        <w:spacing w:line="240" w:lineRule="auto"/>
        <w:ind w:firstLine="0"/>
        <w:jc w:val="right"/>
        <w:rPr>
          <w:szCs w:val="20"/>
        </w:rPr>
      </w:pPr>
    </w:p>
    <w:p w:rsidR="00D92FEC" w:rsidRPr="0025298D" w:rsidRDefault="00D92FEC" w:rsidP="007D46DB">
      <w:pPr>
        <w:spacing w:line="240" w:lineRule="auto"/>
        <w:ind w:firstLine="0"/>
        <w:jc w:val="right"/>
        <w:rPr>
          <w:szCs w:val="20"/>
        </w:rPr>
      </w:pPr>
      <w:r w:rsidRPr="0025298D">
        <w:rPr>
          <w:szCs w:val="20"/>
        </w:rPr>
        <w:t>Таблица 5.1</w:t>
      </w:r>
    </w:p>
    <w:p w:rsidR="00D92FEC" w:rsidRPr="0025298D" w:rsidRDefault="00D92FEC" w:rsidP="007D46DB">
      <w:pPr>
        <w:spacing w:line="240" w:lineRule="auto"/>
        <w:ind w:firstLine="0"/>
        <w:jc w:val="center"/>
        <w:rPr>
          <w:szCs w:val="20"/>
        </w:rPr>
      </w:pPr>
      <w:r w:rsidRPr="0025298D">
        <w:rPr>
          <w:szCs w:val="20"/>
        </w:rPr>
        <w:t>Показатели и индикаторы системы электроснабжения на территории</w:t>
      </w:r>
      <w:r w:rsidR="005B7A20" w:rsidRPr="0025298D">
        <w:rPr>
          <w:szCs w:val="20"/>
        </w:rPr>
        <w:t xml:space="preserve"> </w:t>
      </w:r>
      <w:r w:rsidRPr="0025298D">
        <w:rPr>
          <w:szCs w:val="20"/>
        </w:rPr>
        <w:t>муниципального образования город Норильск</w:t>
      </w:r>
    </w:p>
    <w:tbl>
      <w:tblPr>
        <w:tblW w:w="50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922"/>
        <w:gridCol w:w="922"/>
        <w:gridCol w:w="922"/>
        <w:gridCol w:w="922"/>
        <w:gridCol w:w="922"/>
        <w:gridCol w:w="922"/>
        <w:gridCol w:w="922"/>
        <w:gridCol w:w="922"/>
        <w:gridCol w:w="922"/>
        <w:gridCol w:w="922"/>
        <w:gridCol w:w="922"/>
      </w:tblGrid>
      <w:tr w:rsidR="00F66578" w:rsidRPr="0025298D" w:rsidTr="002757A7">
        <w:trPr>
          <w:trHeight w:val="20"/>
          <w:tblHeader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Надёжность (бесперебойность) снабжения потребителей товарами (услугами) 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аварий на системах коммунальной инфраструктуры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Протяжённость сетей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2 047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Годовая выработка электростанций, в т.ч.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7 732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7 792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7 675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7 618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7 638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8 442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ГЭС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3 372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4 020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4 122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4 197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3 986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4 543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4 576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4 576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4 576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4 576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ТЭС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4 360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3 772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3 553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3 421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3 652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3 899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3 899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3 899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3 899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3 899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общий объем переданной электрической энергии по распределительным сетям на территории муниципального образования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6 049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4 698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5 014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4 269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4 246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4 788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4 788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4 788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4 788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4 788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объем потерь электрической энергии при ее передаче по распределительным сетям на территории муниципального образования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517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467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Отпущено электроэнергии всем потребителям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5 567,28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4 210,88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4 497,74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3 836,07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3 827,02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Уровень потерь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8,0%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10,4%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10,3%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10,1%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9,9%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9,7%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9,7%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9,7%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9,7%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9,7%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Фактический срок службы оборудования, средний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Нормативный срок службы оборудования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Возможный остаточный срок службы оборудования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Протяжённость сетей, нуждающихся в замене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919,9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899,5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858,6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817,7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777,9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614,1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614,1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511,8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409,4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Удельный вес сетей, нуждающихся в замене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44%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42%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Износ систем коммунальной инфраструктуры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55%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noWrap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Сбалансированность системы электроснабжения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Установленная мощность на конец года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2 251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2 271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2 271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2 271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2 226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2 440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2 365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2 290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2 417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2 544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Располагаемая мощность на конец года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2 123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2 119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2 111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2 067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2 101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2 291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2 227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2 152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2 307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2 414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Установленная мощность трансформаторных подстанций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МВА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4 219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Уровень загрузки производственных мощностей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50,4%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50,8%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50,2%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52,3%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52,1%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52,5%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65,0%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67,2%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62,7%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59,9%</w:t>
            </w:r>
          </w:p>
        </w:tc>
      </w:tr>
      <w:tr w:rsidR="00F66578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электроэнергии, реализуемой по приборам учёта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млн. кВт·ч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7 693,3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7 753,0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7 636,6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7 587,5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7 622,7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8 442,0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8 476,0</w:t>
            </w:r>
          </w:p>
        </w:tc>
      </w:tr>
      <w:tr w:rsidR="00260D3A" w:rsidRPr="0025298D" w:rsidTr="002757A7">
        <w:trPr>
          <w:trHeight w:val="20"/>
        </w:trPr>
        <w:tc>
          <w:tcPr>
            <w:tcW w:w="4644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Обеспеченность потребления услуг приборами учёта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99,50%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99,50%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99,50%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99,60%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99,80%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260D3A" w:rsidRPr="0025298D" w:rsidRDefault="00260D3A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</w:tr>
    </w:tbl>
    <w:p w:rsidR="00260D3A" w:rsidRPr="0025298D" w:rsidRDefault="00260D3A" w:rsidP="007D46DB">
      <w:pPr>
        <w:spacing w:line="240" w:lineRule="auto"/>
        <w:ind w:firstLine="0"/>
        <w:jc w:val="left"/>
        <w:rPr>
          <w:sz w:val="20"/>
          <w:szCs w:val="20"/>
        </w:rPr>
      </w:pPr>
    </w:p>
    <w:p w:rsidR="00D92FEC" w:rsidRPr="0025298D" w:rsidRDefault="00D92FEC" w:rsidP="007D46DB">
      <w:pPr>
        <w:spacing w:line="240" w:lineRule="auto"/>
        <w:ind w:firstLine="0"/>
        <w:jc w:val="left"/>
        <w:rPr>
          <w:sz w:val="20"/>
          <w:szCs w:val="20"/>
        </w:rPr>
      </w:pPr>
      <w:r w:rsidRPr="0025298D">
        <w:rPr>
          <w:sz w:val="20"/>
          <w:szCs w:val="20"/>
        </w:rPr>
        <w:br w:type="page"/>
      </w:r>
    </w:p>
    <w:p w:rsidR="001D14BD" w:rsidRPr="0025298D" w:rsidRDefault="001D14BD" w:rsidP="001D14BD">
      <w:pPr>
        <w:spacing w:line="240" w:lineRule="auto"/>
        <w:ind w:firstLine="0"/>
        <w:jc w:val="center"/>
        <w:outlineLvl w:val="1"/>
        <w:rPr>
          <w:szCs w:val="20"/>
        </w:rPr>
      </w:pPr>
      <w:bookmarkStart w:id="3" w:name="_Toc136279334"/>
      <w:r w:rsidRPr="0025298D">
        <w:rPr>
          <w:szCs w:val="20"/>
        </w:rPr>
        <w:lastRenderedPageBreak/>
        <w:t>5.2. Показатели и индикаторы системы теплоснабжения на территории муниципального образования город Норильск</w:t>
      </w:r>
      <w:bookmarkEnd w:id="3"/>
    </w:p>
    <w:p w:rsidR="001D14BD" w:rsidRPr="0025298D" w:rsidRDefault="001D14BD" w:rsidP="007D46DB">
      <w:pPr>
        <w:spacing w:line="240" w:lineRule="auto"/>
        <w:ind w:firstLine="0"/>
        <w:jc w:val="right"/>
        <w:rPr>
          <w:szCs w:val="20"/>
        </w:rPr>
      </w:pPr>
    </w:p>
    <w:p w:rsidR="00D92FEC" w:rsidRPr="0025298D" w:rsidRDefault="00D92FEC" w:rsidP="007D46DB">
      <w:pPr>
        <w:spacing w:line="240" w:lineRule="auto"/>
        <w:ind w:firstLine="0"/>
        <w:jc w:val="right"/>
        <w:rPr>
          <w:szCs w:val="20"/>
        </w:rPr>
      </w:pPr>
      <w:r w:rsidRPr="0025298D">
        <w:rPr>
          <w:szCs w:val="20"/>
        </w:rPr>
        <w:t>Таблица 5.2</w:t>
      </w:r>
    </w:p>
    <w:p w:rsidR="00D92FEC" w:rsidRPr="0025298D" w:rsidRDefault="00D92FEC" w:rsidP="007D46DB">
      <w:pPr>
        <w:spacing w:line="240" w:lineRule="auto"/>
        <w:ind w:firstLine="0"/>
        <w:jc w:val="center"/>
        <w:rPr>
          <w:szCs w:val="20"/>
        </w:rPr>
      </w:pPr>
      <w:r w:rsidRPr="0025298D">
        <w:rPr>
          <w:szCs w:val="20"/>
        </w:rPr>
        <w:t>Показатели и индикаторы системы теплоснабжения на территории муниципального образования город Норильск</w:t>
      </w:r>
    </w:p>
    <w:tbl>
      <w:tblPr>
        <w:tblW w:w="5000" w:type="pct"/>
        <w:tblInd w:w="534" w:type="dxa"/>
        <w:tblLook w:val="04A0" w:firstRow="1" w:lastRow="0" w:firstColumn="1" w:lastColumn="0" w:noHBand="0" w:noVBand="1"/>
      </w:tblPr>
      <w:tblGrid>
        <w:gridCol w:w="3512"/>
        <w:gridCol w:w="1064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F66578" w:rsidRPr="0025298D" w:rsidTr="002757A7">
        <w:trPr>
          <w:trHeight w:val="20"/>
          <w:tblHeader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Надёжность (бесперебойность) снабжения потребителей товарами (услугами) 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аварий на системах коммунальной инфраструктуры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Аварийность систем коммунальной инфраструктуры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ед./км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часов предоставления услуги центрального отопления за отчетный период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час.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7 200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Продолжительность (бесперебойность) поставки товаров и услуг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час./день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Коэффициент потерь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Гкал/км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3,6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Уровень потерь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11,7%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12,1%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10,4%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10,4%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10,3%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4A3F43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" w:anchor="RANGE!B35" w:history="1">
              <w:r w:rsidR="001573EC" w:rsidRPr="0025298D">
                <w:rPr>
                  <w:rFonts w:eastAsia="Times New Roman" w:cs="Times New Roman"/>
                  <w:sz w:val="18"/>
                  <w:szCs w:val="18"/>
                  <w:lang w:eastAsia="ru-RU"/>
                </w:rPr>
                <w:t>Протяженность сетей, нуждающихся в замене</w:t>
              </w:r>
            </w:hyperlink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Удельный вес сетей, нуждающихся в замене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14,40%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14,40%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14,30%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13,90%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15,10%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15,10%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11,1%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8,1%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2,9%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Сбалансированность системы теплоснабжения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Суммарные нагрузки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3 824,50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3 433,10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3 440,30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3 467,90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3 483,00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3 368,97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3 485,43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3 519,69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3 543,88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3 550,77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Установленная мощность котельных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4 604,90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4 237,50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4 259,00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4 291,70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4 308,20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4 466,71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4 466,71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4 659,41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4 659,41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4 852,11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Уровень загрузки производственных мощностей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83,05%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81,02%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80,78%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80,80%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80,85%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87,78%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90,38%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84,75%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85,27%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82,02%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услуги отопления, реализуемой по приборам учёта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2 961,64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3 898,34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7 289,30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7 161,84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6 918,91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7 406,79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7 824,89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7 874,66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7 944,40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8 024,71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Общий объём реализации услуги отопления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9 678,56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9 328,40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9 113,90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9 238,70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9 363,80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9 621,70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9 681,87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9 743,45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9 829,75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9 929,12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объем потребления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2 038,87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1 748,59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1 710,70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1 623,85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1 608,70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1 407,17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общий объем потребляемого муниципальными учреждениями тепловой энергии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350,68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354,45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350,80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376,26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411,55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411,55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прочие потребители (юр.</w:t>
            </w:r>
            <w:r w:rsidR="00CF2FB6"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лица</w:t>
            </w:r>
            <w:r w:rsidR="00CF2FB6"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</w:t>
            </w: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и)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7 289,01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7 225,35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7 052,40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7 238,60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7 343,55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7 886,13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8 052,92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8 114,50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8 200,80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8 217,02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Обеспеченность потребления товаров и услуг приборами учета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30,60%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41,79%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79,98%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77,52%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73,89%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76,98%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80,82%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80,82%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80,82%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80,82%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эффективности производства, передачи и потребления ресурса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Фактический удельный расход топлива на выработку тепловой энергии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кг у.т./Гкал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164,96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163,33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163,86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164,23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165,73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Фактический удельный расход воды на единицу выработанной котельными тепловой энергии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м3/Гкал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Фактический удельный расход электрической энергии на выработку тепловой энергии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кВт·ч/Гкал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34,0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потерь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1 065,90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1 517,96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1 180,12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1 035,71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1 234,26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1 135,51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1 135,51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1 141,76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1 145,27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1 146,77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Теплоэнергия на собственные нужды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20,30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32,24</w:t>
            </w:r>
          </w:p>
        </w:tc>
      </w:tr>
      <w:tr w:rsidR="00F66578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производства теплоэнергии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10 740,57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10 512,80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11 085,73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10 466,65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10 003,62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10 789,44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10 856,92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10 925,97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11 022,74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11 134,17</w:t>
            </w:r>
          </w:p>
        </w:tc>
      </w:tr>
      <w:tr w:rsidR="001573EC" w:rsidRPr="0025298D" w:rsidTr="002757A7">
        <w:trPr>
          <w:trHeight w:val="20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Общая протяжённость сетей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267,1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268,1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269,6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277,8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288,8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307,8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307,8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311,1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311,1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3EC" w:rsidRPr="0025298D" w:rsidRDefault="001573EC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320,2</w:t>
            </w:r>
          </w:p>
        </w:tc>
      </w:tr>
    </w:tbl>
    <w:p w:rsidR="001573EC" w:rsidRPr="0025298D" w:rsidRDefault="001573EC" w:rsidP="007D46DB">
      <w:pPr>
        <w:spacing w:line="240" w:lineRule="auto"/>
        <w:ind w:firstLine="0"/>
        <w:jc w:val="center"/>
        <w:rPr>
          <w:szCs w:val="20"/>
        </w:rPr>
      </w:pPr>
    </w:p>
    <w:p w:rsidR="001573EC" w:rsidRPr="0025298D" w:rsidRDefault="001573EC" w:rsidP="007D46DB">
      <w:pPr>
        <w:spacing w:line="240" w:lineRule="auto"/>
        <w:ind w:firstLine="0"/>
        <w:jc w:val="center"/>
        <w:rPr>
          <w:szCs w:val="20"/>
        </w:rPr>
      </w:pPr>
    </w:p>
    <w:p w:rsidR="00D92FEC" w:rsidRPr="0025298D" w:rsidRDefault="00D92FEC" w:rsidP="007D46DB">
      <w:pPr>
        <w:spacing w:line="240" w:lineRule="auto"/>
        <w:ind w:firstLine="0"/>
        <w:rPr>
          <w:sz w:val="20"/>
          <w:szCs w:val="20"/>
        </w:rPr>
      </w:pPr>
    </w:p>
    <w:p w:rsidR="006A6A8E" w:rsidRPr="0025298D" w:rsidRDefault="006A6A8E" w:rsidP="007D46DB">
      <w:pPr>
        <w:spacing w:line="240" w:lineRule="auto"/>
        <w:ind w:firstLine="0"/>
        <w:jc w:val="left"/>
      </w:pPr>
      <w:r w:rsidRPr="0025298D">
        <w:br w:type="page"/>
      </w:r>
    </w:p>
    <w:p w:rsidR="001D14BD" w:rsidRPr="0025298D" w:rsidRDefault="001D14BD" w:rsidP="001D14BD">
      <w:pPr>
        <w:spacing w:line="240" w:lineRule="auto"/>
        <w:jc w:val="right"/>
        <w:outlineLvl w:val="1"/>
      </w:pPr>
      <w:bookmarkStart w:id="4" w:name="_Toc136279335"/>
      <w:r w:rsidRPr="0025298D">
        <w:rPr>
          <w:szCs w:val="20"/>
          <w:lang w:eastAsia="ru-RU"/>
        </w:rPr>
        <w:lastRenderedPageBreak/>
        <w:t>5.3. Целевые показатели</w:t>
      </w:r>
      <w:r w:rsidRPr="0025298D">
        <w:rPr>
          <w:szCs w:val="20"/>
        </w:rPr>
        <w:t xml:space="preserve"> </w:t>
      </w:r>
      <w:r w:rsidRPr="0025298D">
        <w:rPr>
          <w:szCs w:val="20"/>
          <w:lang w:eastAsia="ru-RU"/>
        </w:rPr>
        <w:t>развития централизованной системы водоснабжения муниципального образования город Норильск</w:t>
      </w:r>
      <w:bookmarkEnd w:id="4"/>
    </w:p>
    <w:p w:rsidR="005E5758" w:rsidRPr="0025298D" w:rsidRDefault="00A16AC7" w:rsidP="007D46DB">
      <w:pPr>
        <w:spacing w:line="240" w:lineRule="auto"/>
        <w:jc w:val="right"/>
      </w:pPr>
      <w:r w:rsidRPr="0025298D">
        <w:t>Таблица 5.</w:t>
      </w:r>
      <w:r w:rsidR="00D92FEC" w:rsidRPr="0025298D">
        <w:t>3</w:t>
      </w:r>
    </w:p>
    <w:p w:rsidR="005E5758" w:rsidRPr="0025298D" w:rsidRDefault="005E5758" w:rsidP="007D46DB">
      <w:pPr>
        <w:spacing w:line="240" w:lineRule="auto"/>
        <w:ind w:firstLine="0"/>
        <w:jc w:val="center"/>
        <w:rPr>
          <w:szCs w:val="20"/>
          <w:lang w:eastAsia="ru-RU"/>
        </w:rPr>
      </w:pPr>
      <w:r w:rsidRPr="0025298D">
        <w:rPr>
          <w:szCs w:val="20"/>
          <w:lang w:eastAsia="ru-RU"/>
        </w:rPr>
        <w:t>Целевые показатели</w:t>
      </w:r>
      <w:r w:rsidRPr="0025298D">
        <w:rPr>
          <w:szCs w:val="20"/>
        </w:rPr>
        <w:t xml:space="preserve"> </w:t>
      </w:r>
      <w:r w:rsidRPr="0025298D">
        <w:rPr>
          <w:szCs w:val="20"/>
          <w:lang w:eastAsia="ru-RU"/>
        </w:rPr>
        <w:t>развития централизованной системы водоснабжения муниципального образования город Норильск</w:t>
      </w:r>
    </w:p>
    <w:tbl>
      <w:tblPr>
        <w:tblW w:w="50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3"/>
        <w:gridCol w:w="1023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F66578" w:rsidRPr="0025298D" w:rsidTr="002757A7">
        <w:trPr>
          <w:trHeight w:val="20"/>
          <w:tblHeader/>
        </w:trPr>
        <w:tc>
          <w:tcPr>
            <w:tcW w:w="3163" w:type="dxa"/>
            <w:vMerge w:val="restart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0600" w:type="dxa"/>
            <w:gridSpan w:val="10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Целевые показатели</w:t>
            </w:r>
          </w:p>
        </w:tc>
      </w:tr>
      <w:tr w:rsidR="00F66578" w:rsidRPr="0025298D" w:rsidTr="002757A7">
        <w:trPr>
          <w:trHeight w:val="20"/>
          <w:tblHeader/>
        </w:trPr>
        <w:tc>
          <w:tcPr>
            <w:tcW w:w="3163" w:type="dxa"/>
            <w:vMerge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качества услуг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проб питьевой воды, подаваемой с источников водоснабжения в распределительную водопроводную сеть, не соответствующих установленным требованиям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0,16%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3,11%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≤5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проб питьевой воды, в распределительной водопроводной сети, не соответствующих установленным требованиям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0,20%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2,81%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≤4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часов предоставления услуг за отчётный период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час.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8 760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надёжности и бесперебойности водоснабжения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аварий на системах коммунальной инфраструктуры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Фактический срок службы оборудования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Возможный остаточный срок службы оборудования после фактического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6,3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Нормативный срок службы оборудования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Износ систем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72,7%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72,7%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72,7%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72,0%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70,7%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68,0%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64,7%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62,7%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60,0%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58,0%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Протяжённость сетей питьевого водоснабжения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432,5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433,00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613,9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613,9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613,9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613,9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613,9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сетей, нуждающихся в замене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72,10%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71,10%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65,90%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60,40%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54,30%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49,30%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44,30%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39,30%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34,30%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29,20%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подъёма воды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170 805,90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190 319,87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190 319,87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164 346,70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167 775,80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166 098,00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165 528,40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164 435,90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164 555,40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164 675,00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воды на собственные нужды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78 763,30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78 768,00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79 115,59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72 029,00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85 700,80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84 843,80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86 140,50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86 203,20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86 265,90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86 328,50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реализации воды всем потребителям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68 571,80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73 470,29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79 653,27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66 065,70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59 362,50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58 768,90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59 667,10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59 710,50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59 753,90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59 797,30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Уровень потерь воды при транспортировке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13,74%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14,18%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16,58%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15,97%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13,54%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13,54%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12,13%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11,48%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11,48%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11,48%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эффективности использования ресурсов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Объём воды, реализуемый по приборам учёта 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35 719,05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43 641,35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49 273,51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49 278,41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43 079,37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42 342,99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49 153,76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49 189,51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49 225,26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49 261,02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Доля от общего объёма воды, реализуемого по приборам учёта 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52,09%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59,40%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61,86%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74,59%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72,57%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72,05%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82,38%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82,38%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82,38%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82,38%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Коэффициент использования </w:t>
            </w: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установленной мощности системы водоснабжения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33,00%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32,70%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35,80%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37,40%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36,09%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36,35%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37,21%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37,17%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37,12%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37,08%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Удельный расход электрической энергии, в том числе: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кВт·ч/м3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2,047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1,975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2,304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2,052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2,293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2,293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2,293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2,293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подготовка питьевой воды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кВт·ч/м3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1,089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1,052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1,115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1,026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1,026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1,026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1,026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транспортировка питьевой воды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кВт·ч/м3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0,958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0,923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1,189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1,032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1,267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1,267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1,267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1,267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Показатель качества обслуживания абонентов</w:t>
            </w:r>
          </w:p>
        </w:tc>
      </w:tr>
      <w:tr w:rsidR="00F66578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Численность населения, получающего услугу водоснабжения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178 106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178 654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180 239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181 656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182 496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183 299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184 645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185 600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187 000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188 900</w:t>
            </w:r>
          </w:p>
        </w:tc>
      </w:tr>
      <w:tr w:rsidR="009C148E" w:rsidRPr="0025298D" w:rsidTr="002757A7">
        <w:trPr>
          <w:trHeight w:val="20"/>
        </w:trPr>
        <w:tc>
          <w:tcPr>
            <w:tcW w:w="316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населения, пользующегося услугой централизованного водоснабжения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C148E" w:rsidRPr="0025298D" w:rsidRDefault="009C148E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</w:tr>
    </w:tbl>
    <w:p w:rsidR="00D92FEC" w:rsidRPr="0025298D" w:rsidRDefault="00D92FEC" w:rsidP="007D46DB">
      <w:pPr>
        <w:spacing w:line="240" w:lineRule="auto"/>
        <w:ind w:firstLine="0"/>
        <w:jc w:val="right"/>
        <w:rPr>
          <w:szCs w:val="20"/>
          <w:lang w:eastAsia="ru-RU"/>
        </w:rPr>
      </w:pPr>
    </w:p>
    <w:p w:rsidR="001D14BD" w:rsidRPr="0025298D" w:rsidRDefault="00D92FEC" w:rsidP="007D46DB">
      <w:pPr>
        <w:spacing w:line="240" w:lineRule="auto"/>
        <w:ind w:firstLine="0"/>
        <w:jc w:val="right"/>
        <w:rPr>
          <w:szCs w:val="20"/>
          <w:lang w:eastAsia="ru-RU"/>
        </w:rPr>
      </w:pPr>
      <w:r w:rsidRPr="0025298D">
        <w:rPr>
          <w:szCs w:val="20"/>
          <w:lang w:eastAsia="ru-RU"/>
        </w:rPr>
        <w:br w:type="page"/>
      </w:r>
    </w:p>
    <w:p w:rsidR="001D14BD" w:rsidRPr="0025298D" w:rsidRDefault="001D14BD" w:rsidP="001D14BD">
      <w:pPr>
        <w:spacing w:line="240" w:lineRule="auto"/>
        <w:ind w:firstLine="0"/>
        <w:jc w:val="center"/>
        <w:outlineLvl w:val="1"/>
        <w:rPr>
          <w:szCs w:val="20"/>
        </w:rPr>
      </w:pPr>
      <w:bookmarkStart w:id="5" w:name="_Toc136279336"/>
      <w:r w:rsidRPr="0025298D">
        <w:rPr>
          <w:szCs w:val="20"/>
        </w:rPr>
        <w:lastRenderedPageBreak/>
        <w:t>5.4. Целевые показатели развития централизованной системы водоотведения муниципального образования город Норильск</w:t>
      </w:r>
      <w:bookmarkEnd w:id="5"/>
    </w:p>
    <w:p w:rsidR="001D14BD" w:rsidRPr="0025298D" w:rsidRDefault="001D14BD" w:rsidP="007D46DB">
      <w:pPr>
        <w:spacing w:line="240" w:lineRule="auto"/>
        <w:ind w:firstLine="0"/>
        <w:jc w:val="right"/>
        <w:rPr>
          <w:szCs w:val="20"/>
          <w:lang w:eastAsia="ru-RU"/>
        </w:rPr>
      </w:pPr>
    </w:p>
    <w:p w:rsidR="005E5758" w:rsidRPr="0025298D" w:rsidRDefault="00A16AC7" w:rsidP="007D46DB">
      <w:pPr>
        <w:spacing w:line="240" w:lineRule="auto"/>
        <w:ind w:firstLine="0"/>
        <w:jc w:val="right"/>
        <w:rPr>
          <w:szCs w:val="20"/>
          <w:lang w:eastAsia="ru-RU"/>
        </w:rPr>
      </w:pPr>
      <w:r w:rsidRPr="0025298D">
        <w:rPr>
          <w:szCs w:val="20"/>
          <w:lang w:eastAsia="ru-RU"/>
        </w:rPr>
        <w:t>Таблица 5.</w:t>
      </w:r>
      <w:r w:rsidR="00D92FEC" w:rsidRPr="0025298D">
        <w:rPr>
          <w:szCs w:val="20"/>
          <w:lang w:eastAsia="ru-RU"/>
        </w:rPr>
        <w:t>4</w:t>
      </w:r>
    </w:p>
    <w:p w:rsidR="005E5758" w:rsidRPr="0025298D" w:rsidRDefault="005E5758" w:rsidP="007D46DB">
      <w:pPr>
        <w:spacing w:line="240" w:lineRule="auto"/>
        <w:ind w:firstLine="0"/>
        <w:jc w:val="center"/>
        <w:rPr>
          <w:szCs w:val="20"/>
        </w:rPr>
      </w:pPr>
      <w:r w:rsidRPr="0025298D">
        <w:rPr>
          <w:szCs w:val="20"/>
        </w:rPr>
        <w:t>Целевые показатели развития централизованной системы водоотведения</w:t>
      </w:r>
      <w:r w:rsidR="005B7A20" w:rsidRPr="0025298D">
        <w:rPr>
          <w:szCs w:val="20"/>
        </w:rPr>
        <w:t xml:space="preserve"> </w:t>
      </w:r>
      <w:r w:rsidRPr="0025298D">
        <w:rPr>
          <w:szCs w:val="20"/>
        </w:rPr>
        <w:t>муниципального образования город Норильск</w:t>
      </w:r>
    </w:p>
    <w:tbl>
      <w:tblPr>
        <w:tblW w:w="50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2"/>
        <w:gridCol w:w="1023"/>
        <w:gridCol w:w="963"/>
        <w:gridCol w:w="963"/>
        <w:gridCol w:w="963"/>
        <w:gridCol w:w="1026"/>
        <w:gridCol w:w="1026"/>
        <w:gridCol w:w="1026"/>
        <w:gridCol w:w="1026"/>
        <w:gridCol w:w="1026"/>
        <w:gridCol w:w="1026"/>
        <w:gridCol w:w="1026"/>
      </w:tblGrid>
      <w:tr w:rsidR="00F66578" w:rsidRPr="0025298D" w:rsidTr="002757A7">
        <w:trPr>
          <w:trHeight w:val="20"/>
          <w:tblHeader/>
        </w:trPr>
        <w:tc>
          <w:tcPr>
            <w:tcW w:w="3692" w:type="dxa"/>
            <w:vMerge w:val="restart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0071" w:type="dxa"/>
            <w:gridSpan w:val="10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Целевые показатели</w:t>
            </w:r>
          </w:p>
        </w:tc>
      </w:tr>
      <w:tr w:rsidR="00F66578" w:rsidRPr="0025298D" w:rsidTr="002757A7">
        <w:trPr>
          <w:trHeight w:val="20"/>
          <w:tblHeader/>
        </w:trPr>
        <w:tc>
          <w:tcPr>
            <w:tcW w:w="3692" w:type="dxa"/>
            <w:vMerge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Показатель качества очистки сточных вод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проб стоков, не соответствующих установленным требованиям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21%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6,12%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≤6,12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≤6,12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≤6,12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≤5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часов предоставления услуг за отчётный период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час.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8760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надёжности и бесперебойности водоотведения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аварий и засоров в расчёте на протяжённость канализационной сети в год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ед./км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2,7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Фактический срок службы оборудования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29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Возможный остаточный срок службы оборудования после фактического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Нормативный срок службы оборудования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Износ канализационных сетей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81,80%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86,00%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86,00%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81,80%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90,60%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89,48%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88,51%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87,54%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85,56%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Протяжённость сетей водоотведения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276,76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276,76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276,76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276,76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276,76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Протяжённость сетей, нуждающихся в замене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228,9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240,6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240,6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240,6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228,9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250,7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247,7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245,0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242,3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236,8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отведённых стоков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21 717,35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22 842,44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23 656,49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28 496,40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26 216,50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32 119,50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32 130,90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32 142,30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32 151,80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32 161,30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отведённых стоков, пропущенный через очистные сооружения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17 851,66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18 776,49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19 445,63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28 496,40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26 216,50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32 119,50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32 130,90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32 142,30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32 151,80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32 161,30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очищенных стоков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82,20%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82,20%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82,20%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100,00%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эффективности использования ресурсов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Установленная производственная мощность очистных сооружений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 в сутки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165,80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165,80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165,80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166,75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166,75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166,75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166,75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166,75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166,75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170,30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Фактическая производственная мощность очистных сооружений (максимальное суточное)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 в сутки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84,3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114,4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114,4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114,5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Коэффициент использования установленной мощности системы водоотведения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46,65%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49,07%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50,82%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60,87%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56,00%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68,60%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68,63%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68,65%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68,67%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67,26%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Удельный расход электрической энергии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кВт·ч/м³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0,75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Показатель качества обслуживания абонентов</w:t>
            </w:r>
          </w:p>
        </w:tc>
      </w:tr>
      <w:tr w:rsidR="00F66578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Численность населения, получающего услугу водоотведения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169 201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169 721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173 029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174 390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177 021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177 800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180 952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181 888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185 130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187 011</w:t>
            </w:r>
          </w:p>
        </w:tc>
      </w:tr>
      <w:tr w:rsidR="00455006" w:rsidRPr="0025298D" w:rsidTr="002757A7">
        <w:trPr>
          <w:trHeight w:val="20"/>
        </w:trPr>
        <w:tc>
          <w:tcPr>
            <w:tcW w:w="3692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населения, пользующегося услугой централизованного водоотведения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95%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95%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96%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96%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97%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97%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98%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98%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99%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55006" w:rsidRPr="0025298D" w:rsidRDefault="00455006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99%</w:t>
            </w:r>
          </w:p>
        </w:tc>
      </w:tr>
    </w:tbl>
    <w:p w:rsidR="00455006" w:rsidRPr="0025298D" w:rsidRDefault="00455006" w:rsidP="007D46DB">
      <w:pPr>
        <w:spacing w:line="240" w:lineRule="auto"/>
        <w:ind w:firstLine="0"/>
        <w:jc w:val="right"/>
        <w:rPr>
          <w:szCs w:val="20"/>
        </w:rPr>
      </w:pPr>
    </w:p>
    <w:p w:rsidR="00455006" w:rsidRPr="0025298D" w:rsidRDefault="001D14BD" w:rsidP="001D14BD">
      <w:pPr>
        <w:spacing w:line="240" w:lineRule="auto"/>
        <w:ind w:firstLine="0"/>
        <w:jc w:val="right"/>
        <w:outlineLvl w:val="1"/>
        <w:rPr>
          <w:szCs w:val="20"/>
        </w:rPr>
      </w:pPr>
      <w:bookmarkStart w:id="6" w:name="_Toc136279337"/>
      <w:r w:rsidRPr="0025298D">
        <w:rPr>
          <w:szCs w:val="20"/>
        </w:rPr>
        <w:lastRenderedPageBreak/>
        <w:t>5.5. Целевые показатели развития системы сбора и утилизации ТКО на территории муниципального образования город Норильск</w:t>
      </w:r>
      <w:bookmarkEnd w:id="6"/>
    </w:p>
    <w:p w:rsidR="005E5758" w:rsidRPr="0025298D" w:rsidRDefault="004D2C0C" w:rsidP="007D46DB">
      <w:pPr>
        <w:spacing w:line="240" w:lineRule="auto"/>
        <w:ind w:firstLine="0"/>
        <w:jc w:val="right"/>
        <w:rPr>
          <w:szCs w:val="20"/>
        </w:rPr>
      </w:pPr>
      <w:r w:rsidRPr="0025298D">
        <w:rPr>
          <w:szCs w:val="20"/>
        </w:rPr>
        <w:t>Таблица 5.</w:t>
      </w:r>
      <w:r w:rsidR="00DE7705" w:rsidRPr="0025298D">
        <w:rPr>
          <w:szCs w:val="20"/>
        </w:rPr>
        <w:t>5</w:t>
      </w:r>
    </w:p>
    <w:p w:rsidR="005E5758" w:rsidRPr="0025298D" w:rsidRDefault="005E5758" w:rsidP="007D46DB">
      <w:pPr>
        <w:spacing w:line="240" w:lineRule="auto"/>
        <w:ind w:firstLine="0"/>
        <w:jc w:val="center"/>
        <w:rPr>
          <w:szCs w:val="20"/>
        </w:rPr>
      </w:pPr>
      <w:r w:rsidRPr="0025298D">
        <w:rPr>
          <w:szCs w:val="20"/>
        </w:rPr>
        <w:t>Целевые показатели развития системы сбора и утилизации Т</w:t>
      </w:r>
      <w:r w:rsidR="007705CD" w:rsidRPr="0025298D">
        <w:rPr>
          <w:szCs w:val="20"/>
        </w:rPr>
        <w:t>К</w:t>
      </w:r>
      <w:r w:rsidRPr="0025298D">
        <w:rPr>
          <w:szCs w:val="20"/>
        </w:rPr>
        <w:t>О на территории</w:t>
      </w:r>
      <w:r w:rsidR="005B7A20" w:rsidRPr="0025298D">
        <w:rPr>
          <w:szCs w:val="20"/>
        </w:rPr>
        <w:t xml:space="preserve"> муниципального образования </w:t>
      </w:r>
      <w:r w:rsidRPr="0025298D">
        <w:rPr>
          <w:szCs w:val="20"/>
        </w:rPr>
        <w:t>город Норильск</w:t>
      </w:r>
    </w:p>
    <w:tbl>
      <w:tblPr>
        <w:tblW w:w="5000" w:type="pct"/>
        <w:tblInd w:w="534" w:type="dxa"/>
        <w:tblLook w:val="04A0" w:firstRow="1" w:lastRow="0" w:firstColumn="1" w:lastColumn="0" w:noHBand="0" w:noVBand="1"/>
      </w:tblPr>
      <w:tblGrid>
        <w:gridCol w:w="4264"/>
        <w:gridCol w:w="956"/>
        <w:gridCol w:w="956"/>
        <w:gridCol w:w="956"/>
        <w:gridCol w:w="956"/>
        <w:gridCol w:w="956"/>
        <w:gridCol w:w="957"/>
        <w:gridCol w:w="957"/>
        <w:gridCol w:w="957"/>
        <w:gridCol w:w="957"/>
        <w:gridCol w:w="957"/>
        <w:gridCol w:w="957"/>
      </w:tblGrid>
      <w:tr w:rsidR="00F66578" w:rsidRPr="0025298D" w:rsidTr="001D14BD">
        <w:trPr>
          <w:trHeight w:val="20"/>
          <w:tblHeader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целевого показателя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качества и экологичности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анализов проб, несоответствующих ПДК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надёжности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Суммарная продолжительность пожаров на объектах для утилизации (захоронения) ТКО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час.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Суммарная площадь, подверженная пожарам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Накопленный объем утилизированных (захороненных) отходов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1 491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1 469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1 438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1 407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1 384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1 362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1 288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1 243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1 243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1 243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Общая проектная вместимость объектов для захоронения ТКО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28 975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5 795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Образование твердых коммунальных отходов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122,36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122,36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173,03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173,57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219,96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220,78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221,53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222,26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222,99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223,71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32,73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46,29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46,43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58,69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58,90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59,11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59,30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59,49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59,69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 эффективности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Площадь объектов для утилизации (захоронения) ТБО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Штатная численность основного производственного персонала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9,2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4A3F43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" w:anchor="RANGE!_ftn1" w:history="1">
              <w:r w:rsidR="005B7A20" w:rsidRPr="0025298D">
                <w:rPr>
                  <w:rFonts w:eastAsia="Times New Roman" w:cs="Times New Roman"/>
                  <w:sz w:val="18"/>
                  <w:szCs w:val="18"/>
                  <w:lang w:eastAsia="ru-RU"/>
                </w:rPr>
                <w:t>Средний фактический объём ТКО, размещаемый на одной рабочей карте (нарастающим итогом)</w:t>
              </w:r>
            </w:hyperlink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13,9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Коэффициент уплотнения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Эффективность использования персонала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чел/га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</w:tr>
      <w:tr w:rsidR="00F66578" w:rsidRPr="0025298D" w:rsidTr="00A35DF3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Удельная величина образования ТКО от населения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м3/чел</w:t>
            </w:r>
            <w:r w:rsidR="000E1467" w:rsidRPr="0025298D"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 в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F3" w:rsidRPr="0025298D" w:rsidRDefault="00A35DF3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</w:tr>
      <w:tr w:rsidR="00F66578" w:rsidRPr="0025298D" w:rsidTr="002757A7">
        <w:trPr>
          <w:trHeight w:val="20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Прочие показатели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Объём утилизации (захоронения) твёрдых бытовых отходов в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489,0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471,1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647,8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641,7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693,6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699,1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703,8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709,7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716,9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от населения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416,4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421,4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424,7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426,7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428,5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431,7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433,9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437,2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441,6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от бюджетных организаций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27,0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от прочих организаций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204,6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246,8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247,5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248,2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обслуживаемого населения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178 106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178 654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180 239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181 656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182 496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183 299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184 645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185 600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187 000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188 900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переработки ТКО по отношению к общему объёму их образования в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1,50%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2,00%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3,00%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12,00%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ТКО, проходящих через раздельный сбор и сортировку, в общем объёме образованных ТКО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100%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Доля полигонов ТКО, отвечающих требованиям природоохранного законодательства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66578" w:rsidRPr="0025298D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Доля ликвидированных несанкционированных </w:t>
            </w: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свалок, от количества выявленных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5B7A20" w:rsidRPr="00F66578" w:rsidTr="002757A7">
        <w:trPr>
          <w:trHeight w:val="2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Доля рекультивированных объектов размещения ТКО, в том числе несанкционированных свалок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25298D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20" w:rsidRPr="00F66578" w:rsidRDefault="005B7A20" w:rsidP="007D46D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5298D">
              <w:rPr>
                <w:rFonts w:eastAsia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</w:tbl>
    <w:p w:rsidR="005E5758" w:rsidRPr="00F66578" w:rsidRDefault="005E5758" w:rsidP="007D46DB">
      <w:pPr>
        <w:spacing w:line="240" w:lineRule="auto"/>
        <w:ind w:firstLine="0"/>
        <w:rPr>
          <w:sz w:val="20"/>
          <w:szCs w:val="20"/>
        </w:rPr>
      </w:pPr>
    </w:p>
    <w:sectPr w:rsidR="005E5758" w:rsidRPr="00F66578" w:rsidSect="005E5758">
      <w:footerReference w:type="default" r:id="rId12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F43" w:rsidRDefault="004A3F43" w:rsidP="008C16B5">
      <w:r>
        <w:separator/>
      </w:r>
    </w:p>
  </w:endnote>
  <w:endnote w:type="continuationSeparator" w:id="0">
    <w:p w:rsidR="004A3F43" w:rsidRDefault="004A3F43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DF3" w:rsidRDefault="00A35DF3" w:rsidP="005B7A20">
    <w:pPr>
      <w:pStyle w:val="afd"/>
      <w:jc w:val="right"/>
    </w:pPr>
    <w: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758171"/>
      <w:docPartObj>
        <w:docPartGallery w:val="Page Numbers (Bottom of Page)"/>
        <w:docPartUnique/>
      </w:docPartObj>
    </w:sdtPr>
    <w:sdtEndPr/>
    <w:sdtContent>
      <w:p w:rsidR="00A35DF3" w:rsidRDefault="00A35DF3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1BA">
          <w:rPr>
            <w:noProof/>
          </w:rPr>
          <w:t>2</w:t>
        </w:r>
        <w:r>
          <w:fldChar w:fldCharType="end"/>
        </w:r>
      </w:p>
    </w:sdtContent>
  </w:sdt>
  <w:p w:rsidR="00A35DF3" w:rsidRDefault="00A35DF3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DF3" w:rsidRDefault="00A35DF3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 w:rsidR="003051BA">
      <w:rPr>
        <w:noProof/>
      </w:rPr>
      <w:t>8</w:t>
    </w:r>
    <w:r>
      <w:fldChar w:fldCharType="end"/>
    </w:r>
  </w:p>
  <w:p w:rsidR="00A35DF3" w:rsidRDefault="00A35DF3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F43" w:rsidRDefault="004A3F43" w:rsidP="008C16B5">
      <w:r>
        <w:separator/>
      </w:r>
    </w:p>
  </w:footnote>
  <w:footnote w:type="continuationSeparator" w:id="0">
    <w:p w:rsidR="004A3F43" w:rsidRDefault="004A3F43" w:rsidP="008C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2D"/>
    <w:rsid w:val="00000C4E"/>
    <w:rsid w:val="00001281"/>
    <w:rsid w:val="00001758"/>
    <w:rsid w:val="00001C22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3113"/>
    <w:rsid w:val="000436A7"/>
    <w:rsid w:val="0004457E"/>
    <w:rsid w:val="0004466A"/>
    <w:rsid w:val="00044982"/>
    <w:rsid w:val="00044FA1"/>
    <w:rsid w:val="000450F8"/>
    <w:rsid w:val="00045952"/>
    <w:rsid w:val="00046D50"/>
    <w:rsid w:val="0004763B"/>
    <w:rsid w:val="000477DB"/>
    <w:rsid w:val="00047901"/>
    <w:rsid w:val="00047C97"/>
    <w:rsid w:val="00050C5E"/>
    <w:rsid w:val="000513D5"/>
    <w:rsid w:val="0005198C"/>
    <w:rsid w:val="00051AC5"/>
    <w:rsid w:val="00051B2E"/>
    <w:rsid w:val="00051B65"/>
    <w:rsid w:val="00052235"/>
    <w:rsid w:val="000525E4"/>
    <w:rsid w:val="00052602"/>
    <w:rsid w:val="00054120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B3"/>
    <w:rsid w:val="00057FEC"/>
    <w:rsid w:val="0006030D"/>
    <w:rsid w:val="000605CD"/>
    <w:rsid w:val="0006092F"/>
    <w:rsid w:val="00060F5F"/>
    <w:rsid w:val="00061615"/>
    <w:rsid w:val="00061D07"/>
    <w:rsid w:val="00061E13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61C8"/>
    <w:rsid w:val="00066498"/>
    <w:rsid w:val="00066BF7"/>
    <w:rsid w:val="00067821"/>
    <w:rsid w:val="0007155C"/>
    <w:rsid w:val="0007156B"/>
    <w:rsid w:val="0007173C"/>
    <w:rsid w:val="000718C7"/>
    <w:rsid w:val="000719D8"/>
    <w:rsid w:val="000721BF"/>
    <w:rsid w:val="000723BC"/>
    <w:rsid w:val="00072ABA"/>
    <w:rsid w:val="00072CEC"/>
    <w:rsid w:val="00072E21"/>
    <w:rsid w:val="00072F40"/>
    <w:rsid w:val="00073991"/>
    <w:rsid w:val="00073C77"/>
    <w:rsid w:val="00073E59"/>
    <w:rsid w:val="00074C14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28B"/>
    <w:rsid w:val="000C5200"/>
    <w:rsid w:val="000C598F"/>
    <w:rsid w:val="000C5C98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467"/>
    <w:rsid w:val="000E179F"/>
    <w:rsid w:val="000E1995"/>
    <w:rsid w:val="000E1DC1"/>
    <w:rsid w:val="000E1EA4"/>
    <w:rsid w:val="000E204E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706C"/>
    <w:rsid w:val="000F786A"/>
    <w:rsid w:val="000F7875"/>
    <w:rsid w:val="00100397"/>
    <w:rsid w:val="0010066E"/>
    <w:rsid w:val="0010069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7D5"/>
    <w:rsid w:val="00115B8F"/>
    <w:rsid w:val="00116164"/>
    <w:rsid w:val="001161E7"/>
    <w:rsid w:val="001165B9"/>
    <w:rsid w:val="00117183"/>
    <w:rsid w:val="0011792B"/>
    <w:rsid w:val="00117ED3"/>
    <w:rsid w:val="001201BB"/>
    <w:rsid w:val="00120E82"/>
    <w:rsid w:val="00121B96"/>
    <w:rsid w:val="00121CBB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A75"/>
    <w:rsid w:val="00142B0C"/>
    <w:rsid w:val="001431AF"/>
    <w:rsid w:val="001435DA"/>
    <w:rsid w:val="00143649"/>
    <w:rsid w:val="00143C7E"/>
    <w:rsid w:val="00144332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6289"/>
    <w:rsid w:val="0015690F"/>
    <w:rsid w:val="00156CC7"/>
    <w:rsid w:val="001572D3"/>
    <w:rsid w:val="001573EC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AE"/>
    <w:rsid w:val="00163859"/>
    <w:rsid w:val="00163A48"/>
    <w:rsid w:val="00163F06"/>
    <w:rsid w:val="00164306"/>
    <w:rsid w:val="0016533B"/>
    <w:rsid w:val="00165FDC"/>
    <w:rsid w:val="001668B1"/>
    <w:rsid w:val="00166E35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1F5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B34"/>
    <w:rsid w:val="001C3D89"/>
    <w:rsid w:val="001C3DDB"/>
    <w:rsid w:val="001C418B"/>
    <w:rsid w:val="001C4666"/>
    <w:rsid w:val="001C4E26"/>
    <w:rsid w:val="001C4FFB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4BD"/>
    <w:rsid w:val="001D15DC"/>
    <w:rsid w:val="001D186B"/>
    <w:rsid w:val="001D1A8F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2FF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34EC"/>
    <w:rsid w:val="002336E4"/>
    <w:rsid w:val="002339C4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4CA"/>
    <w:rsid w:val="00243C95"/>
    <w:rsid w:val="00244B6F"/>
    <w:rsid w:val="00244C2B"/>
    <w:rsid w:val="00244F31"/>
    <w:rsid w:val="00245305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298D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D3A"/>
    <w:rsid w:val="00260EFA"/>
    <w:rsid w:val="0026179C"/>
    <w:rsid w:val="00261AF1"/>
    <w:rsid w:val="00262106"/>
    <w:rsid w:val="002623FC"/>
    <w:rsid w:val="00262779"/>
    <w:rsid w:val="00262D41"/>
    <w:rsid w:val="002638F7"/>
    <w:rsid w:val="0026466D"/>
    <w:rsid w:val="0026475E"/>
    <w:rsid w:val="00264CB4"/>
    <w:rsid w:val="00264D28"/>
    <w:rsid w:val="00264DEF"/>
    <w:rsid w:val="00265A1D"/>
    <w:rsid w:val="00265C04"/>
    <w:rsid w:val="002663CE"/>
    <w:rsid w:val="00266C04"/>
    <w:rsid w:val="00267559"/>
    <w:rsid w:val="00267DEB"/>
    <w:rsid w:val="00270031"/>
    <w:rsid w:val="0027017A"/>
    <w:rsid w:val="00270536"/>
    <w:rsid w:val="0027062D"/>
    <w:rsid w:val="0027088D"/>
    <w:rsid w:val="00270A9D"/>
    <w:rsid w:val="002728C4"/>
    <w:rsid w:val="002730B1"/>
    <w:rsid w:val="0027431C"/>
    <w:rsid w:val="00274925"/>
    <w:rsid w:val="002757A7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818"/>
    <w:rsid w:val="002D5B2A"/>
    <w:rsid w:val="002D6702"/>
    <w:rsid w:val="002D6CEC"/>
    <w:rsid w:val="002D73F6"/>
    <w:rsid w:val="002E0398"/>
    <w:rsid w:val="002E11CA"/>
    <w:rsid w:val="002E14D3"/>
    <w:rsid w:val="002E1724"/>
    <w:rsid w:val="002E1F4B"/>
    <w:rsid w:val="002E3068"/>
    <w:rsid w:val="002E321D"/>
    <w:rsid w:val="002E3AB5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DB2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1BA"/>
    <w:rsid w:val="0030529A"/>
    <w:rsid w:val="00305A00"/>
    <w:rsid w:val="00305A71"/>
    <w:rsid w:val="0030632F"/>
    <w:rsid w:val="0030672C"/>
    <w:rsid w:val="00307094"/>
    <w:rsid w:val="003070AD"/>
    <w:rsid w:val="003072F1"/>
    <w:rsid w:val="00307E87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234E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33D"/>
    <w:rsid w:val="0035152C"/>
    <w:rsid w:val="003521B4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DC4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5401"/>
    <w:rsid w:val="003A5445"/>
    <w:rsid w:val="003A5805"/>
    <w:rsid w:val="003A59BD"/>
    <w:rsid w:val="003A5D11"/>
    <w:rsid w:val="003A6A80"/>
    <w:rsid w:val="003A6F3A"/>
    <w:rsid w:val="003A7533"/>
    <w:rsid w:val="003B04F4"/>
    <w:rsid w:val="003B06B9"/>
    <w:rsid w:val="003B0C9F"/>
    <w:rsid w:val="003B0DD5"/>
    <w:rsid w:val="003B162F"/>
    <w:rsid w:val="003B1649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7C4"/>
    <w:rsid w:val="003D18AE"/>
    <w:rsid w:val="003D222C"/>
    <w:rsid w:val="003D233F"/>
    <w:rsid w:val="003D255D"/>
    <w:rsid w:val="003D337F"/>
    <w:rsid w:val="003D3461"/>
    <w:rsid w:val="003D38EF"/>
    <w:rsid w:val="003D425F"/>
    <w:rsid w:val="003D4929"/>
    <w:rsid w:val="003D4C71"/>
    <w:rsid w:val="003D4ECA"/>
    <w:rsid w:val="003D5828"/>
    <w:rsid w:val="003D59E7"/>
    <w:rsid w:val="003D73B8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2E3"/>
    <w:rsid w:val="0040373F"/>
    <w:rsid w:val="004039AD"/>
    <w:rsid w:val="004045E7"/>
    <w:rsid w:val="00405220"/>
    <w:rsid w:val="004054F8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BE"/>
    <w:rsid w:val="00420604"/>
    <w:rsid w:val="00421475"/>
    <w:rsid w:val="004217AE"/>
    <w:rsid w:val="004220EE"/>
    <w:rsid w:val="00422324"/>
    <w:rsid w:val="00422E59"/>
    <w:rsid w:val="004237EE"/>
    <w:rsid w:val="00423D51"/>
    <w:rsid w:val="00424EDA"/>
    <w:rsid w:val="00425306"/>
    <w:rsid w:val="0042561A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70C9"/>
    <w:rsid w:val="0043752D"/>
    <w:rsid w:val="004379D7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57E"/>
    <w:rsid w:val="004445D9"/>
    <w:rsid w:val="00444845"/>
    <w:rsid w:val="00444B2E"/>
    <w:rsid w:val="00444EC4"/>
    <w:rsid w:val="004450D9"/>
    <w:rsid w:val="004452E1"/>
    <w:rsid w:val="004453FF"/>
    <w:rsid w:val="00445629"/>
    <w:rsid w:val="00445706"/>
    <w:rsid w:val="00445789"/>
    <w:rsid w:val="004459B8"/>
    <w:rsid w:val="00445D30"/>
    <w:rsid w:val="00446045"/>
    <w:rsid w:val="00446C56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006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B11"/>
    <w:rsid w:val="00465008"/>
    <w:rsid w:val="00465351"/>
    <w:rsid w:val="0046554F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1342"/>
    <w:rsid w:val="00471CD8"/>
    <w:rsid w:val="0047207E"/>
    <w:rsid w:val="004722D0"/>
    <w:rsid w:val="004726B4"/>
    <w:rsid w:val="00472A79"/>
    <w:rsid w:val="00472CF8"/>
    <w:rsid w:val="00472FF8"/>
    <w:rsid w:val="004731C1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3F43"/>
    <w:rsid w:val="004A6226"/>
    <w:rsid w:val="004A661D"/>
    <w:rsid w:val="004A690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F51"/>
    <w:rsid w:val="004B122A"/>
    <w:rsid w:val="004B158B"/>
    <w:rsid w:val="004B1C32"/>
    <w:rsid w:val="004B2389"/>
    <w:rsid w:val="004B240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2C0C"/>
    <w:rsid w:val="004D3ABB"/>
    <w:rsid w:val="004D4758"/>
    <w:rsid w:val="004D4FE9"/>
    <w:rsid w:val="004D53A0"/>
    <w:rsid w:val="004D5A7B"/>
    <w:rsid w:val="004D5C4A"/>
    <w:rsid w:val="004D64BA"/>
    <w:rsid w:val="004D7059"/>
    <w:rsid w:val="004D7A4B"/>
    <w:rsid w:val="004D7BFE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EF3"/>
    <w:rsid w:val="004E6D97"/>
    <w:rsid w:val="004E772B"/>
    <w:rsid w:val="004E7B8D"/>
    <w:rsid w:val="004F0433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B6D"/>
    <w:rsid w:val="004F2FC3"/>
    <w:rsid w:val="004F3938"/>
    <w:rsid w:val="004F3CF3"/>
    <w:rsid w:val="004F3F13"/>
    <w:rsid w:val="004F429F"/>
    <w:rsid w:val="004F4E33"/>
    <w:rsid w:val="004F52AB"/>
    <w:rsid w:val="004F6637"/>
    <w:rsid w:val="004F6646"/>
    <w:rsid w:val="004F6997"/>
    <w:rsid w:val="004F6F7D"/>
    <w:rsid w:val="004F7FC1"/>
    <w:rsid w:val="00500911"/>
    <w:rsid w:val="005009CF"/>
    <w:rsid w:val="00500BB6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52E9"/>
    <w:rsid w:val="00525573"/>
    <w:rsid w:val="005255D9"/>
    <w:rsid w:val="00525798"/>
    <w:rsid w:val="00526211"/>
    <w:rsid w:val="005262A7"/>
    <w:rsid w:val="005267DB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5311"/>
    <w:rsid w:val="005355C3"/>
    <w:rsid w:val="00535842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601F9"/>
    <w:rsid w:val="00560329"/>
    <w:rsid w:val="005607AB"/>
    <w:rsid w:val="00560DF0"/>
    <w:rsid w:val="00561168"/>
    <w:rsid w:val="0056227F"/>
    <w:rsid w:val="005628A5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67846"/>
    <w:rsid w:val="00570086"/>
    <w:rsid w:val="00570177"/>
    <w:rsid w:val="00570694"/>
    <w:rsid w:val="00570A8A"/>
    <w:rsid w:val="00570B6E"/>
    <w:rsid w:val="00571313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FB"/>
    <w:rsid w:val="005877AE"/>
    <w:rsid w:val="00587F6E"/>
    <w:rsid w:val="00590311"/>
    <w:rsid w:val="005916A2"/>
    <w:rsid w:val="00591FD1"/>
    <w:rsid w:val="00591FEF"/>
    <w:rsid w:val="005920A9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52B8"/>
    <w:rsid w:val="005A5356"/>
    <w:rsid w:val="005A5494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A20"/>
    <w:rsid w:val="005B7B97"/>
    <w:rsid w:val="005B7C76"/>
    <w:rsid w:val="005B7D29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8FF"/>
    <w:rsid w:val="005C7A10"/>
    <w:rsid w:val="005C7DCC"/>
    <w:rsid w:val="005C7EB9"/>
    <w:rsid w:val="005C7F84"/>
    <w:rsid w:val="005D02DB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758"/>
    <w:rsid w:val="005E5891"/>
    <w:rsid w:val="005E6130"/>
    <w:rsid w:val="005E73C5"/>
    <w:rsid w:val="005E7614"/>
    <w:rsid w:val="005F04EA"/>
    <w:rsid w:val="005F07C7"/>
    <w:rsid w:val="005F07E6"/>
    <w:rsid w:val="005F0902"/>
    <w:rsid w:val="005F0DF1"/>
    <w:rsid w:val="005F136F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49A4"/>
    <w:rsid w:val="0060576B"/>
    <w:rsid w:val="006059A1"/>
    <w:rsid w:val="00605BE3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1ED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46E"/>
    <w:rsid w:val="00666FAF"/>
    <w:rsid w:val="006670FD"/>
    <w:rsid w:val="0066742F"/>
    <w:rsid w:val="006678BA"/>
    <w:rsid w:val="006678F9"/>
    <w:rsid w:val="00667F0D"/>
    <w:rsid w:val="00667F89"/>
    <w:rsid w:val="00670357"/>
    <w:rsid w:val="00670C71"/>
    <w:rsid w:val="00670D76"/>
    <w:rsid w:val="0067106E"/>
    <w:rsid w:val="006716BB"/>
    <w:rsid w:val="00671C99"/>
    <w:rsid w:val="00671E1A"/>
    <w:rsid w:val="00672017"/>
    <w:rsid w:val="00672131"/>
    <w:rsid w:val="006724BA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D0F"/>
    <w:rsid w:val="00687F07"/>
    <w:rsid w:val="006906C2"/>
    <w:rsid w:val="0069098B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49"/>
    <w:rsid w:val="006A1F7F"/>
    <w:rsid w:val="006A2627"/>
    <w:rsid w:val="006A2AF1"/>
    <w:rsid w:val="006A3B0C"/>
    <w:rsid w:val="006A41D3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80F"/>
    <w:rsid w:val="006A6A8E"/>
    <w:rsid w:val="006A6D79"/>
    <w:rsid w:val="006A6DF6"/>
    <w:rsid w:val="006A7359"/>
    <w:rsid w:val="006A77E4"/>
    <w:rsid w:val="006A7AF2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B8"/>
    <w:rsid w:val="006C2273"/>
    <w:rsid w:val="006C22E4"/>
    <w:rsid w:val="006C360D"/>
    <w:rsid w:val="006C41EE"/>
    <w:rsid w:val="006C4295"/>
    <w:rsid w:val="006C46E5"/>
    <w:rsid w:val="006C4770"/>
    <w:rsid w:val="006C5011"/>
    <w:rsid w:val="006C5618"/>
    <w:rsid w:val="006C6065"/>
    <w:rsid w:val="006C6BBF"/>
    <w:rsid w:val="006C768A"/>
    <w:rsid w:val="006D0B69"/>
    <w:rsid w:val="006D0C4F"/>
    <w:rsid w:val="006D0E9E"/>
    <w:rsid w:val="006D10B2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925"/>
    <w:rsid w:val="00730D78"/>
    <w:rsid w:val="00730EC9"/>
    <w:rsid w:val="0073196E"/>
    <w:rsid w:val="00731C1A"/>
    <w:rsid w:val="00731FD0"/>
    <w:rsid w:val="0073207B"/>
    <w:rsid w:val="0073357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AAD"/>
    <w:rsid w:val="007679A8"/>
    <w:rsid w:val="00767CD6"/>
    <w:rsid w:val="00767FCA"/>
    <w:rsid w:val="00770119"/>
    <w:rsid w:val="007705CD"/>
    <w:rsid w:val="007708A3"/>
    <w:rsid w:val="00770A80"/>
    <w:rsid w:val="00770B8F"/>
    <w:rsid w:val="0077154A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B63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60F9"/>
    <w:rsid w:val="007B656C"/>
    <w:rsid w:val="007B65EF"/>
    <w:rsid w:val="007B66A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2614"/>
    <w:rsid w:val="007D26BA"/>
    <w:rsid w:val="007D26D5"/>
    <w:rsid w:val="007D28D9"/>
    <w:rsid w:val="007D2C7B"/>
    <w:rsid w:val="007D46DB"/>
    <w:rsid w:val="007D51E2"/>
    <w:rsid w:val="007D54CD"/>
    <w:rsid w:val="007D5633"/>
    <w:rsid w:val="007D5884"/>
    <w:rsid w:val="007D6ECB"/>
    <w:rsid w:val="007D7483"/>
    <w:rsid w:val="007D7562"/>
    <w:rsid w:val="007D7688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C31"/>
    <w:rsid w:val="00807746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EB9"/>
    <w:rsid w:val="00814536"/>
    <w:rsid w:val="00814B12"/>
    <w:rsid w:val="00815904"/>
    <w:rsid w:val="0081598B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AB8"/>
    <w:rsid w:val="00897D63"/>
    <w:rsid w:val="008A0FE1"/>
    <w:rsid w:val="008A1455"/>
    <w:rsid w:val="008A1591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1B6"/>
    <w:rsid w:val="008C2C7E"/>
    <w:rsid w:val="008C2FC9"/>
    <w:rsid w:val="008C44A3"/>
    <w:rsid w:val="008C4546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E05"/>
    <w:rsid w:val="008F04DA"/>
    <w:rsid w:val="008F084C"/>
    <w:rsid w:val="008F08B5"/>
    <w:rsid w:val="008F1152"/>
    <w:rsid w:val="008F13EF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9CE"/>
    <w:rsid w:val="00900CF8"/>
    <w:rsid w:val="00901715"/>
    <w:rsid w:val="00902145"/>
    <w:rsid w:val="009022E0"/>
    <w:rsid w:val="00902BC1"/>
    <w:rsid w:val="00903C66"/>
    <w:rsid w:val="00904069"/>
    <w:rsid w:val="00904E60"/>
    <w:rsid w:val="009062FC"/>
    <w:rsid w:val="009063AE"/>
    <w:rsid w:val="00906A5C"/>
    <w:rsid w:val="00906F37"/>
    <w:rsid w:val="0090709B"/>
    <w:rsid w:val="0090731C"/>
    <w:rsid w:val="00907A0F"/>
    <w:rsid w:val="0091044F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D6"/>
    <w:rsid w:val="0092549A"/>
    <w:rsid w:val="0092569F"/>
    <w:rsid w:val="00925723"/>
    <w:rsid w:val="00925F76"/>
    <w:rsid w:val="009263DE"/>
    <w:rsid w:val="009265A0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952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385F"/>
    <w:rsid w:val="00953C92"/>
    <w:rsid w:val="0095445F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60341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AFC"/>
    <w:rsid w:val="00977B67"/>
    <w:rsid w:val="00977C54"/>
    <w:rsid w:val="00977DE5"/>
    <w:rsid w:val="00980C38"/>
    <w:rsid w:val="009812F7"/>
    <w:rsid w:val="009813B1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6295"/>
    <w:rsid w:val="009867E9"/>
    <w:rsid w:val="00986BF8"/>
    <w:rsid w:val="00987098"/>
    <w:rsid w:val="00987402"/>
    <w:rsid w:val="0098752F"/>
    <w:rsid w:val="0098761C"/>
    <w:rsid w:val="00987CBF"/>
    <w:rsid w:val="00990396"/>
    <w:rsid w:val="0099071E"/>
    <w:rsid w:val="00990829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DEB"/>
    <w:rsid w:val="009A51E0"/>
    <w:rsid w:val="009A5213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48E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57E6"/>
    <w:rsid w:val="009D6793"/>
    <w:rsid w:val="009D6B8E"/>
    <w:rsid w:val="009D6BE5"/>
    <w:rsid w:val="009D7042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F71"/>
    <w:rsid w:val="00A000D3"/>
    <w:rsid w:val="00A001AE"/>
    <w:rsid w:val="00A00A16"/>
    <w:rsid w:val="00A01015"/>
    <w:rsid w:val="00A013DC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AC7"/>
    <w:rsid w:val="00A16B8E"/>
    <w:rsid w:val="00A170B8"/>
    <w:rsid w:val="00A20D88"/>
    <w:rsid w:val="00A20E63"/>
    <w:rsid w:val="00A2104B"/>
    <w:rsid w:val="00A219D2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4CB"/>
    <w:rsid w:val="00A255DC"/>
    <w:rsid w:val="00A25678"/>
    <w:rsid w:val="00A268A0"/>
    <w:rsid w:val="00A26C46"/>
    <w:rsid w:val="00A273C0"/>
    <w:rsid w:val="00A276C0"/>
    <w:rsid w:val="00A2782B"/>
    <w:rsid w:val="00A278AA"/>
    <w:rsid w:val="00A27D1D"/>
    <w:rsid w:val="00A3080D"/>
    <w:rsid w:val="00A32135"/>
    <w:rsid w:val="00A327B2"/>
    <w:rsid w:val="00A32964"/>
    <w:rsid w:val="00A32A1C"/>
    <w:rsid w:val="00A32FA4"/>
    <w:rsid w:val="00A3390B"/>
    <w:rsid w:val="00A33CC7"/>
    <w:rsid w:val="00A34065"/>
    <w:rsid w:val="00A341F7"/>
    <w:rsid w:val="00A35374"/>
    <w:rsid w:val="00A353A7"/>
    <w:rsid w:val="00A35C12"/>
    <w:rsid w:val="00A35DF3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49EF"/>
    <w:rsid w:val="00A55335"/>
    <w:rsid w:val="00A55F8C"/>
    <w:rsid w:val="00A56030"/>
    <w:rsid w:val="00A562AE"/>
    <w:rsid w:val="00A56A10"/>
    <w:rsid w:val="00A57130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E8D"/>
    <w:rsid w:val="00A67EAE"/>
    <w:rsid w:val="00A67F66"/>
    <w:rsid w:val="00A70964"/>
    <w:rsid w:val="00A7140F"/>
    <w:rsid w:val="00A721AA"/>
    <w:rsid w:val="00A72346"/>
    <w:rsid w:val="00A72521"/>
    <w:rsid w:val="00A725D3"/>
    <w:rsid w:val="00A72739"/>
    <w:rsid w:val="00A728EE"/>
    <w:rsid w:val="00A72E6B"/>
    <w:rsid w:val="00A73584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D0A"/>
    <w:rsid w:val="00A85D7C"/>
    <w:rsid w:val="00A866BD"/>
    <w:rsid w:val="00A868BD"/>
    <w:rsid w:val="00A86BD8"/>
    <w:rsid w:val="00A86EB7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512D"/>
    <w:rsid w:val="00AA5363"/>
    <w:rsid w:val="00AA542B"/>
    <w:rsid w:val="00AA63B3"/>
    <w:rsid w:val="00AA70D8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4ABE"/>
    <w:rsid w:val="00AB4DF2"/>
    <w:rsid w:val="00AB5A86"/>
    <w:rsid w:val="00AB5F08"/>
    <w:rsid w:val="00AB6E39"/>
    <w:rsid w:val="00AB6E86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F9F"/>
    <w:rsid w:val="00AE0179"/>
    <w:rsid w:val="00AE03E1"/>
    <w:rsid w:val="00AE0C72"/>
    <w:rsid w:val="00AE0F2B"/>
    <w:rsid w:val="00AE1165"/>
    <w:rsid w:val="00AE139E"/>
    <w:rsid w:val="00AE13C6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F9E"/>
    <w:rsid w:val="00AF6A03"/>
    <w:rsid w:val="00AF6B48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E03"/>
    <w:rsid w:val="00B13923"/>
    <w:rsid w:val="00B13C52"/>
    <w:rsid w:val="00B14176"/>
    <w:rsid w:val="00B14983"/>
    <w:rsid w:val="00B14F03"/>
    <w:rsid w:val="00B15512"/>
    <w:rsid w:val="00B15555"/>
    <w:rsid w:val="00B15C3D"/>
    <w:rsid w:val="00B1619D"/>
    <w:rsid w:val="00B16631"/>
    <w:rsid w:val="00B1677F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5A6E"/>
    <w:rsid w:val="00B260C4"/>
    <w:rsid w:val="00B270DC"/>
    <w:rsid w:val="00B2723E"/>
    <w:rsid w:val="00B300E7"/>
    <w:rsid w:val="00B301EF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5EA5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FF"/>
    <w:rsid w:val="00B4342A"/>
    <w:rsid w:val="00B43529"/>
    <w:rsid w:val="00B43630"/>
    <w:rsid w:val="00B43AC9"/>
    <w:rsid w:val="00B43D6E"/>
    <w:rsid w:val="00B43E63"/>
    <w:rsid w:val="00B44045"/>
    <w:rsid w:val="00B4469A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40C"/>
    <w:rsid w:val="00B57C65"/>
    <w:rsid w:val="00B60025"/>
    <w:rsid w:val="00B60417"/>
    <w:rsid w:val="00B60493"/>
    <w:rsid w:val="00B62023"/>
    <w:rsid w:val="00B62804"/>
    <w:rsid w:val="00B63EE7"/>
    <w:rsid w:val="00B646E4"/>
    <w:rsid w:val="00B64BE7"/>
    <w:rsid w:val="00B6511C"/>
    <w:rsid w:val="00B6532B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998"/>
    <w:rsid w:val="00B83A7E"/>
    <w:rsid w:val="00B83A87"/>
    <w:rsid w:val="00B83DF9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E28"/>
    <w:rsid w:val="00B95426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5104"/>
    <w:rsid w:val="00BC53DA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728F"/>
    <w:rsid w:val="00BD773A"/>
    <w:rsid w:val="00BD78DF"/>
    <w:rsid w:val="00BD7DFF"/>
    <w:rsid w:val="00BE0074"/>
    <w:rsid w:val="00BE01DF"/>
    <w:rsid w:val="00BE0513"/>
    <w:rsid w:val="00BE0660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E46"/>
    <w:rsid w:val="00BF2E58"/>
    <w:rsid w:val="00BF3846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B5A"/>
    <w:rsid w:val="00BF7E9C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4A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5F0"/>
    <w:rsid w:val="00C57E2B"/>
    <w:rsid w:val="00C608E3"/>
    <w:rsid w:val="00C609F6"/>
    <w:rsid w:val="00C61365"/>
    <w:rsid w:val="00C6180C"/>
    <w:rsid w:val="00C628CA"/>
    <w:rsid w:val="00C62D3B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732E"/>
    <w:rsid w:val="00C67BE8"/>
    <w:rsid w:val="00C67DC5"/>
    <w:rsid w:val="00C70419"/>
    <w:rsid w:val="00C70545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980"/>
    <w:rsid w:val="00C80086"/>
    <w:rsid w:val="00C80532"/>
    <w:rsid w:val="00C80B19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55A4"/>
    <w:rsid w:val="00C95D54"/>
    <w:rsid w:val="00C96BA5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4553"/>
    <w:rsid w:val="00CC462B"/>
    <w:rsid w:val="00CC4FAF"/>
    <w:rsid w:val="00CC52C2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2FB6"/>
    <w:rsid w:val="00CF34FC"/>
    <w:rsid w:val="00CF4D33"/>
    <w:rsid w:val="00CF5636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7B7"/>
    <w:rsid w:val="00D16F78"/>
    <w:rsid w:val="00D17553"/>
    <w:rsid w:val="00D17B66"/>
    <w:rsid w:val="00D2098F"/>
    <w:rsid w:val="00D20FCC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6F68"/>
    <w:rsid w:val="00D27570"/>
    <w:rsid w:val="00D300CF"/>
    <w:rsid w:val="00D30458"/>
    <w:rsid w:val="00D3094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5262F"/>
    <w:rsid w:val="00D52D8F"/>
    <w:rsid w:val="00D52EF6"/>
    <w:rsid w:val="00D5335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29C"/>
    <w:rsid w:val="00D7762F"/>
    <w:rsid w:val="00D804EC"/>
    <w:rsid w:val="00D809AA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2FEC"/>
    <w:rsid w:val="00D9361B"/>
    <w:rsid w:val="00D9388D"/>
    <w:rsid w:val="00D94500"/>
    <w:rsid w:val="00D94C40"/>
    <w:rsid w:val="00D94DC7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B23"/>
    <w:rsid w:val="00DA6CBC"/>
    <w:rsid w:val="00DA6F7C"/>
    <w:rsid w:val="00DA77BE"/>
    <w:rsid w:val="00DA79CB"/>
    <w:rsid w:val="00DA7C3B"/>
    <w:rsid w:val="00DA7CCC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705"/>
    <w:rsid w:val="00DE79B7"/>
    <w:rsid w:val="00DE7AF5"/>
    <w:rsid w:val="00DF001E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D77"/>
    <w:rsid w:val="00E2511F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2CFD"/>
    <w:rsid w:val="00E73138"/>
    <w:rsid w:val="00E73550"/>
    <w:rsid w:val="00E73C86"/>
    <w:rsid w:val="00E7423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692"/>
    <w:rsid w:val="00E82B15"/>
    <w:rsid w:val="00E837CA"/>
    <w:rsid w:val="00E83FF4"/>
    <w:rsid w:val="00E843BF"/>
    <w:rsid w:val="00E8473E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D7F3A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50D"/>
    <w:rsid w:val="00EE57F7"/>
    <w:rsid w:val="00EE5B55"/>
    <w:rsid w:val="00EE6D3C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5077"/>
    <w:rsid w:val="00EF5224"/>
    <w:rsid w:val="00EF5638"/>
    <w:rsid w:val="00EF6C6A"/>
    <w:rsid w:val="00EF7385"/>
    <w:rsid w:val="00EF7575"/>
    <w:rsid w:val="00EF7F30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1B22"/>
    <w:rsid w:val="00F42ECA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F61"/>
    <w:rsid w:val="00F65A5B"/>
    <w:rsid w:val="00F65C98"/>
    <w:rsid w:val="00F65DBC"/>
    <w:rsid w:val="00F663E2"/>
    <w:rsid w:val="00F66516"/>
    <w:rsid w:val="00F66578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2B45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95A"/>
    <w:rsid w:val="00F80157"/>
    <w:rsid w:val="00F80566"/>
    <w:rsid w:val="00F80C6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4F9C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75A"/>
    <w:rsid w:val="00F878AC"/>
    <w:rsid w:val="00F87EEC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8BA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A3E"/>
    <w:rsid w:val="00FA7CAA"/>
    <w:rsid w:val="00FA7D20"/>
    <w:rsid w:val="00FA7E0C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A91"/>
    <w:rsid w:val="00FB5DB3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E60"/>
    <w:rsid w:val="00FD3F7F"/>
    <w:rsid w:val="00FD4E3D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7D367-9D94-49C3-91DB-F40D2C2B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10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rFonts w:eastAsia="Times New Roman" w:cs="Times New Roman"/>
      <w:b/>
      <w:bCs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rFonts w:eastAsia="Times New Roman" w:cs="Times New Roman"/>
      <w:b/>
      <w:bC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6F2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rFonts w:eastAsia="Times New Roman" w:cs="Times New Roman"/>
      <w:b/>
      <w:sz w:val="28"/>
      <w:szCs w:val="36"/>
      <w:lang w:eastAsia="ru-RU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 w:cs="Times New Roman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rFonts w:eastAsia="Times New Roman" w:cs="Times New Roman"/>
      <w:b/>
      <w:sz w:val="36"/>
      <w:szCs w:val="36"/>
      <w:lang w:eastAsia="ru-RU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rFonts w:eastAsia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0F3257"/>
    <w:pPr>
      <w:spacing w:after="100"/>
      <w:ind w:left="200"/>
    </w:pPr>
    <w:rPr>
      <w:rFonts w:eastAsia="Times New Roman" w:cs="Times New Roman"/>
      <w:sz w:val="20"/>
      <w:szCs w:val="20"/>
      <w:lang w:eastAsia="ru-RU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rFonts w:eastAsia="Times New Roman" w:cs="Times New Roman"/>
      <w:sz w:val="20"/>
      <w:szCs w:val="20"/>
      <w:lang w:eastAsia="ru-RU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link w:val="af8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rFonts w:eastAsia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">
    <w:name w:val="S_Обычный"/>
    <w:basedOn w:val="a"/>
    <w:link w:val="S0"/>
    <w:qFormat/>
    <w:rsid w:val="002A783C"/>
    <w:pPr>
      <w:spacing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 w:line="240" w:lineRule="auto"/>
      <w:ind w:firstLine="567"/>
    </w:pPr>
    <w:rPr>
      <w:rFonts w:eastAsia="Times New Roman" w:cs="Times New Roman"/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 w:line="240" w:lineRule="auto"/>
      <w:ind w:left="709" w:firstLine="0"/>
      <w:jc w:val="left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spacing w:line="240" w:lineRule="auto"/>
      <w:ind w:left="709" w:firstLine="0"/>
      <w:jc w:val="left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 w:line="240" w:lineRule="auto"/>
      <w:ind w:firstLine="0"/>
      <w:jc w:val="left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i.mihayluk\Desktop\18%20&#1053;&#1086;&#1088;&#1080;&#1083;&#1100;&#1089;&#1082;%20&#1040;&#1055;&#1050;&#1056;%20&#1050;&#1048;%20-%20&#1087;&#1088;&#1086;&#1077;&#1082;&#1090;%2025.2023\&#1055;&#1050;&#1056;%20&#1050;&#1048;\2.&#1058;&#1072;&#1073;&#1083;&#1080;&#1094;&#1099;%20&#1082;%20&#1055;&#1050;&#1056;%20&#1053;&#1086;&#1088;&#1080;&#1083;&#1100;&#1089;&#1082;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i.mihayluk\Desktop\18%20&#1053;&#1086;&#1088;&#1080;&#1083;&#1100;&#1089;&#1082;%20&#1040;&#1055;&#1050;&#1056;%20&#1050;&#1048;%20-%20&#1087;&#1088;&#1086;&#1077;&#1082;&#1090;%2025.2023\&#1055;&#1050;&#1056;%20&#1050;&#1048;\2.&#1058;&#1072;&#1073;&#1083;&#1080;&#1094;&#1099;%20&#1082;%20&#1055;&#1050;&#1056;%20&#1053;&#1086;&#1088;&#1080;&#1083;&#1100;&#1089;&#1082;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883D-3ECA-4E87-87C8-FAD5C499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Янгильдина Лия Юрьевна</cp:lastModifiedBy>
  <cp:revision>44</cp:revision>
  <cp:lastPrinted>2023-08-02T08:18:00Z</cp:lastPrinted>
  <dcterms:created xsi:type="dcterms:W3CDTF">2016-03-28T09:27:00Z</dcterms:created>
  <dcterms:modified xsi:type="dcterms:W3CDTF">2023-11-01T10:50:00Z</dcterms:modified>
</cp:coreProperties>
</file>