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91D" w:rsidRPr="00EC6F41" w:rsidRDefault="00E8491D" w:rsidP="00EC6F41">
      <w:pPr>
        <w:pStyle w:val="ConsPlusNormal"/>
        <w:ind w:firstLine="5103"/>
        <w:outlineLvl w:val="0"/>
        <w:rPr>
          <w:rFonts w:ascii="Times New Roman" w:hAnsi="Times New Roman" w:cs="Times New Roman"/>
          <w:sz w:val="26"/>
          <w:szCs w:val="26"/>
        </w:rPr>
      </w:pPr>
      <w:r w:rsidRPr="00EC6F41">
        <w:rPr>
          <w:rFonts w:ascii="Times New Roman" w:hAnsi="Times New Roman" w:cs="Times New Roman"/>
          <w:sz w:val="26"/>
          <w:szCs w:val="26"/>
        </w:rPr>
        <w:t xml:space="preserve">Приложение </w:t>
      </w:r>
    </w:p>
    <w:p w:rsidR="00E8491D" w:rsidRPr="00EC6F41" w:rsidRDefault="00E8491D" w:rsidP="00EC6F41">
      <w:pPr>
        <w:pStyle w:val="ConsPlusNormal"/>
        <w:ind w:firstLine="5103"/>
        <w:outlineLvl w:val="0"/>
        <w:rPr>
          <w:rFonts w:ascii="Times New Roman" w:hAnsi="Times New Roman" w:cs="Times New Roman"/>
          <w:sz w:val="26"/>
          <w:szCs w:val="26"/>
        </w:rPr>
      </w:pPr>
      <w:r w:rsidRPr="00EC6F41">
        <w:rPr>
          <w:rFonts w:ascii="Times New Roman" w:hAnsi="Times New Roman" w:cs="Times New Roman"/>
          <w:sz w:val="26"/>
          <w:szCs w:val="26"/>
        </w:rPr>
        <w:t xml:space="preserve">к решению Норильского </w:t>
      </w:r>
    </w:p>
    <w:p w:rsidR="00E8491D" w:rsidRPr="00EC6F41" w:rsidRDefault="00E8491D" w:rsidP="00EC6F41">
      <w:pPr>
        <w:pStyle w:val="ConsPlusNormal"/>
        <w:ind w:firstLine="5103"/>
        <w:outlineLvl w:val="0"/>
        <w:rPr>
          <w:rFonts w:ascii="Times New Roman" w:hAnsi="Times New Roman" w:cs="Times New Roman"/>
          <w:sz w:val="26"/>
          <w:szCs w:val="26"/>
        </w:rPr>
      </w:pPr>
      <w:r w:rsidRPr="00EC6F41">
        <w:rPr>
          <w:rFonts w:ascii="Times New Roman" w:hAnsi="Times New Roman" w:cs="Times New Roman"/>
          <w:sz w:val="26"/>
          <w:szCs w:val="26"/>
        </w:rPr>
        <w:t>городского Совета депутатов</w:t>
      </w:r>
    </w:p>
    <w:p w:rsidR="00E8491D" w:rsidRPr="00EC6F41" w:rsidRDefault="00EC6F41" w:rsidP="00EC6F41">
      <w:pPr>
        <w:pStyle w:val="ConsPlusNormal"/>
        <w:ind w:firstLine="5103"/>
        <w:outlineLvl w:val="0"/>
        <w:rPr>
          <w:rFonts w:ascii="Times New Roman" w:hAnsi="Times New Roman" w:cs="Times New Roman"/>
          <w:sz w:val="26"/>
          <w:szCs w:val="26"/>
        </w:rPr>
      </w:pPr>
      <w:r>
        <w:rPr>
          <w:rFonts w:ascii="Times New Roman" w:hAnsi="Times New Roman" w:cs="Times New Roman"/>
          <w:sz w:val="26"/>
          <w:szCs w:val="26"/>
        </w:rPr>
        <w:t xml:space="preserve">от 20 июня 2023 года </w:t>
      </w:r>
      <w:r w:rsidR="00E8491D" w:rsidRPr="00EC6F41">
        <w:rPr>
          <w:rFonts w:ascii="Times New Roman" w:hAnsi="Times New Roman" w:cs="Times New Roman"/>
          <w:sz w:val="26"/>
          <w:szCs w:val="26"/>
        </w:rPr>
        <w:t>№</w:t>
      </w:r>
      <w:r w:rsidR="00670090">
        <w:rPr>
          <w:rFonts w:ascii="Times New Roman" w:hAnsi="Times New Roman" w:cs="Times New Roman"/>
          <w:sz w:val="26"/>
          <w:szCs w:val="26"/>
        </w:rPr>
        <w:t xml:space="preserve"> 8/6–201</w:t>
      </w:r>
      <w:bookmarkStart w:id="0" w:name="_GoBack"/>
      <w:bookmarkEnd w:id="0"/>
    </w:p>
    <w:p w:rsidR="00E8491D" w:rsidRPr="00EC6F41" w:rsidRDefault="00E8491D" w:rsidP="00EC6F41">
      <w:pPr>
        <w:pStyle w:val="ConsPlusNormal"/>
        <w:ind w:firstLine="5103"/>
        <w:outlineLvl w:val="0"/>
        <w:rPr>
          <w:rFonts w:ascii="Times New Roman" w:hAnsi="Times New Roman" w:cs="Times New Roman"/>
          <w:sz w:val="26"/>
          <w:szCs w:val="26"/>
        </w:rPr>
      </w:pPr>
    </w:p>
    <w:p w:rsidR="00E8491D" w:rsidRPr="00EC6F41" w:rsidRDefault="00E8491D" w:rsidP="00EC6F41">
      <w:pPr>
        <w:pStyle w:val="ConsPlusNormal"/>
        <w:ind w:firstLine="5103"/>
        <w:outlineLvl w:val="0"/>
        <w:rPr>
          <w:rFonts w:ascii="Times New Roman" w:hAnsi="Times New Roman" w:cs="Times New Roman"/>
          <w:sz w:val="26"/>
          <w:szCs w:val="26"/>
        </w:rPr>
      </w:pPr>
    </w:p>
    <w:p w:rsidR="0032123E" w:rsidRPr="00EC6F41" w:rsidRDefault="0032123E" w:rsidP="00EC6F41">
      <w:pPr>
        <w:pStyle w:val="ConsPlusNormal"/>
        <w:ind w:firstLine="5103"/>
        <w:outlineLvl w:val="0"/>
        <w:rPr>
          <w:rFonts w:ascii="Times New Roman" w:hAnsi="Times New Roman" w:cs="Times New Roman"/>
          <w:sz w:val="26"/>
          <w:szCs w:val="26"/>
        </w:rPr>
      </w:pPr>
      <w:r w:rsidRPr="00EC6F41">
        <w:rPr>
          <w:rFonts w:ascii="Times New Roman" w:hAnsi="Times New Roman" w:cs="Times New Roman"/>
          <w:sz w:val="26"/>
          <w:szCs w:val="26"/>
        </w:rPr>
        <w:t>Приложение 2</w:t>
      </w:r>
    </w:p>
    <w:p w:rsidR="0032123E" w:rsidRPr="00EC6F41" w:rsidRDefault="0032123E" w:rsidP="00EC6F41">
      <w:pPr>
        <w:pStyle w:val="ConsPlusNormal"/>
        <w:ind w:firstLine="5103"/>
        <w:rPr>
          <w:rFonts w:ascii="Times New Roman" w:hAnsi="Times New Roman" w:cs="Times New Roman"/>
          <w:sz w:val="26"/>
          <w:szCs w:val="26"/>
        </w:rPr>
      </w:pPr>
      <w:r w:rsidRPr="00EC6F41">
        <w:rPr>
          <w:rFonts w:ascii="Times New Roman" w:hAnsi="Times New Roman" w:cs="Times New Roman"/>
          <w:sz w:val="26"/>
          <w:szCs w:val="26"/>
        </w:rPr>
        <w:t>к Положению</w:t>
      </w:r>
    </w:p>
    <w:p w:rsidR="0032123E" w:rsidRPr="00EC6F41" w:rsidRDefault="0032123E" w:rsidP="00EC6F41">
      <w:pPr>
        <w:pStyle w:val="ConsPlusNormal"/>
        <w:ind w:firstLine="5103"/>
        <w:rPr>
          <w:rFonts w:ascii="Times New Roman" w:hAnsi="Times New Roman" w:cs="Times New Roman"/>
          <w:sz w:val="26"/>
          <w:szCs w:val="26"/>
        </w:rPr>
      </w:pPr>
      <w:r w:rsidRPr="00EC6F41">
        <w:rPr>
          <w:rFonts w:ascii="Times New Roman" w:hAnsi="Times New Roman" w:cs="Times New Roman"/>
          <w:sz w:val="26"/>
          <w:szCs w:val="26"/>
        </w:rPr>
        <w:t>о муниципальном контроле</w:t>
      </w:r>
    </w:p>
    <w:p w:rsidR="0032123E" w:rsidRPr="00EC6F41" w:rsidRDefault="0032123E" w:rsidP="00EC6F41">
      <w:pPr>
        <w:pStyle w:val="ConsPlusNormal"/>
        <w:ind w:firstLine="5103"/>
        <w:rPr>
          <w:rFonts w:ascii="Times New Roman" w:hAnsi="Times New Roman" w:cs="Times New Roman"/>
          <w:sz w:val="26"/>
          <w:szCs w:val="26"/>
        </w:rPr>
      </w:pPr>
      <w:r w:rsidRPr="00EC6F41">
        <w:rPr>
          <w:rFonts w:ascii="Times New Roman" w:hAnsi="Times New Roman" w:cs="Times New Roman"/>
          <w:sz w:val="26"/>
          <w:szCs w:val="26"/>
        </w:rPr>
        <w:t>на автомобильном транспорте</w:t>
      </w:r>
    </w:p>
    <w:p w:rsidR="0032123E" w:rsidRPr="00EC6F41" w:rsidRDefault="0032123E" w:rsidP="00EC6F41">
      <w:pPr>
        <w:pStyle w:val="ConsPlusNormal"/>
        <w:ind w:firstLine="5103"/>
        <w:rPr>
          <w:rFonts w:ascii="Times New Roman" w:hAnsi="Times New Roman" w:cs="Times New Roman"/>
          <w:sz w:val="26"/>
          <w:szCs w:val="26"/>
        </w:rPr>
      </w:pPr>
      <w:r w:rsidRPr="00EC6F41">
        <w:rPr>
          <w:rFonts w:ascii="Times New Roman" w:hAnsi="Times New Roman" w:cs="Times New Roman"/>
          <w:sz w:val="26"/>
          <w:szCs w:val="26"/>
        </w:rPr>
        <w:t>и в дорожном хозяйстве</w:t>
      </w:r>
    </w:p>
    <w:p w:rsidR="0032123E" w:rsidRPr="00EC6F41" w:rsidRDefault="0032123E" w:rsidP="00EC6F41">
      <w:pPr>
        <w:pStyle w:val="ConsPlusNormal"/>
        <w:ind w:firstLine="5103"/>
        <w:rPr>
          <w:rFonts w:ascii="Times New Roman" w:hAnsi="Times New Roman" w:cs="Times New Roman"/>
          <w:sz w:val="26"/>
          <w:szCs w:val="26"/>
        </w:rPr>
      </w:pPr>
      <w:r w:rsidRPr="00EC6F41">
        <w:rPr>
          <w:rFonts w:ascii="Times New Roman" w:hAnsi="Times New Roman" w:cs="Times New Roman"/>
          <w:sz w:val="26"/>
          <w:szCs w:val="26"/>
        </w:rPr>
        <w:t>на территории муниципального</w:t>
      </w:r>
    </w:p>
    <w:p w:rsidR="0032123E" w:rsidRPr="00EC6F41" w:rsidRDefault="0032123E" w:rsidP="00EC6F41">
      <w:pPr>
        <w:pStyle w:val="ConsPlusNormal"/>
        <w:ind w:firstLine="5103"/>
        <w:rPr>
          <w:rFonts w:ascii="Times New Roman" w:hAnsi="Times New Roman" w:cs="Times New Roman"/>
          <w:sz w:val="26"/>
          <w:szCs w:val="26"/>
        </w:rPr>
      </w:pPr>
      <w:r w:rsidRPr="00EC6F41">
        <w:rPr>
          <w:rFonts w:ascii="Times New Roman" w:hAnsi="Times New Roman" w:cs="Times New Roman"/>
          <w:sz w:val="26"/>
          <w:szCs w:val="26"/>
        </w:rPr>
        <w:t>образования город Норильск,</w:t>
      </w:r>
    </w:p>
    <w:p w:rsidR="0032123E" w:rsidRPr="00EC6F41" w:rsidRDefault="0032123E" w:rsidP="00EC6F41">
      <w:pPr>
        <w:pStyle w:val="ConsPlusNormal"/>
        <w:ind w:firstLine="5103"/>
        <w:rPr>
          <w:rFonts w:ascii="Times New Roman" w:hAnsi="Times New Roman" w:cs="Times New Roman"/>
          <w:sz w:val="26"/>
          <w:szCs w:val="26"/>
        </w:rPr>
      </w:pPr>
      <w:r w:rsidRPr="00EC6F41">
        <w:rPr>
          <w:rFonts w:ascii="Times New Roman" w:hAnsi="Times New Roman" w:cs="Times New Roman"/>
          <w:sz w:val="26"/>
          <w:szCs w:val="26"/>
        </w:rPr>
        <w:t>утвержденному</w:t>
      </w:r>
    </w:p>
    <w:p w:rsidR="00EC6F41" w:rsidRDefault="00EC6F41" w:rsidP="00EC6F41">
      <w:pPr>
        <w:pStyle w:val="ConsPlusNormal"/>
        <w:ind w:firstLine="5103"/>
        <w:rPr>
          <w:rFonts w:ascii="Times New Roman" w:hAnsi="Times New Roman" w:cs="Times New Roman"/>
          <w:sz w:val="26"/>
          <w:szCs w:val="26"/>
        </w:rPr>
      </w:pPr>
      <w:r>
        <w:rPr>
          <w:rFonts w:ascii="Times New Roman" w:hAnsi="Times New Roman" w:cs="Times New Roman"/>
          <w:sz w:val="26"/>
          <w:szCs w:val="26"/>
        </w:rPr>
        <w:t>р</w:t>
      </w:r>
      <w:r w:rsidR="0032123E" w:rsidRPr="00EC6F41">
        <w:rPr>
          <w:rFonts w:ascii="Times New Roman" w:hAnsi="Times New Roman" w:cs="Times New Roman"/>
          <w:sz w:val="26"/>
          <w:szCs w:val="26"/>
        </w:rPr>
        <w:t>ешением</w:t>
      </w:r>
      <w:r>
        <w:rPr>
          <w:rFonts w:ascii="Times New Roman" w:hAnsi="Times New Roman" w:cs="Times New Roman"/>
          <w:sz w:val="26"/>
          <w:szCs w:val="26"/>
        </w:rPr>
        <w:t xml:space="preserve"> </w:t>
      </w:r>
      <w:r w:rsidR="0032123E" w:rsidRPr="00EC6F41">
        <w:rPr>
          <w:rFonts w:ascii="Times New Roman" w:hAnsi="Times New Roman" w:cs="Times New Roman"/>
          <w:sz w:val="26"/>
          <w:szCs w:val="26"/>
        </w:rPr>
        <w:t xml:space="preserve">Норильского </w:t>
      </w:r>
    </w:p>
    <w:p w:rsidR="0032123E" w:rsidRPr="00EC6F41" w:rsidRDefault="0032123E" w:rsidP="00EC6F41">
      <w:pPr>
        <w:pStyle w:val="ConsPlusNormal"/>
        <w:ind w:firstLine="5103"/>
        <w:rPr>
          <w:rFonts w:ascii="Times New Roman" w:hAnsi="Times New Roman" w:cs="Times New Roman"/>
          <w:sz w:val="26"/>
          <w:szCs w:val="26"/>
        </w:rPr>
      </w:pPr>
      <w:r w:rsidRPr="00EC6F41">
        <w:rPr>
          <w:rFonts w:ascii="Times New Roman" w:hAnsi="Times New Roman" w:cs="Times New Roman"/>
          <w:sz w:val="26"/>
          <w:szCs w:val="26"/>
        </w:rPr>
        <w:t>городского</w:t>
      </w:r>
      <w:r w:rsidR="00EC6F41">
        <w:rPr>
          <w:rFonts w:ascii="Times New Roman" w:hAnsi="Times New Roman" w:cs="Times New Roman"/>
          <w:sz w:val="26"/>
          <w:szCs w:val="26"/>
        </w:rPr>
        <w:t xml:space="preserve"> </w:t>
      </w:r>
      <w:r w:rsidRPr="00EC6F41">
        <w:rPr>
          <w:rFonts w:ascii="Times New Roman" w:hAnsi="Times New Roman" w:cs="Times New Roman"/>
          <w:sz w:val="26"/>
          <w:szCs w:val="26"/>
        </w:rPr>
        <w:t>Совета депутатов</w:t>
      </w:r>
    </w:p>
    <w:p w:rsidR="0032123E" w:rsidRPr="00EC6F41" w:rsidRDefault="00EC6F41" w:rsidP="00EC6F41">
      <w:pPr>
        <w:pStyle w:val="ConsPlusNormal"/>
        <w:ind w:firstLine="5103"/>
        <w:rPr>
          <w:rFonts w:ascii="Times New Roman" w:hAnsi="Times New Roman" w:cs="Times New Roman"/>
          <w:sz w:val="26"/>
          <w:szCs w:val="26"/>
        </w:rPr>
      </w:pPr>
      <w:r>
        <w:rPr>
          <w:rFonts w:ascii="Times New Roman" w:hAnsi="Times New Roman" w:cs="Times New Roman"/>
          <w:sz w:val="26"/>
          <w:szCs w:val="26"/>
        </w:rPr>
        <w:t xml:space="preserve">от 21 сентября </w:t>
      </w:r>
      <w:r w:rsidR="0032123E" w:rsidRPr="00EC6F41">
        <w:rPr>
          <w:rFonts w:ascii="Times New Roman" w:hAnsi="Times New Roman" w:cs="Times New Roman"/>
          <w:sz w:val="26"/>
          <w:szCs w:val="26"/>
        </w:rPr>
        <w:t>2021</w:t>
      </w:r>
      <w:r>
        <w:rPr>
          <w:rFonts w:ascii="Times New Roman" w:hAnsi="Times New Roman" w:cs="Times New Roman"/>
          <w:sz w:val="26"/>
          <w:szCs w:val="26"/>
        </w:rPr>
        <w:t xml:space="preserve"> года</w:t>
      </w:r>
      <w:r w:rsidR="0032123E" w:rsidRPr="00EC6F41">
        <w:rPr>
          <w:rFonts w:ascii="Times New Roman" w:hAnsi="Times New Roman" w:cs="Times New Roman"/>
          <w:sz w:val="26"/>
          <w:szCs w:val="26"/>
        </w:rPr>
        <w:t xml:space="preserve"> </w:t>
      </w:r>
      <w:r w:rsidR="00E8491D" w:rsidRPr="00EC6F41">
        <w:rPr>
          <w:rFonts w:ascii="Times New Roman" w:hAnsi="Times New Roman" w:cs="Times New Roman"/>
          <w:sz w:val="26"/>
          <w:szCs w:val="26"/>
        </w:rPr>
        <w:t>№</w:t>
      </w:r>
      <w:r>
        <w:rPr>
          <w:rFonts w:ascii="Times New Roman" w:hAnsi="Times New Roman" w:cs="Times New Roman"/>
          <w:sz w:val="26"/>
          <w:szCs w:val="26"/>
        </w:rPr>
        <w:t xml:space="preserve"> 30/5–</w:t>
      </w:r>
      <w:r w:rsidR="0032123E" w:rsidRPr="00EC6F41">
        <w:rPr>
          <w:rFonts w:ascii="Times New Roman" w:hAnsi="Times New Roman" w:cs="Times New Roman"/>
          <w:sz w:val="26"/>
          <w:szCs w:val="26"/>
        </w:rPr>
        <w:t>695</w:t>
      </w:r>
    </w:p>
    <w:p w:rsidR="0032123E" w:rsidRDefault="0032123E">
      <w:pPr>
        <w:pStyle w:val="ConsPlusNormal"/>
        <w:jc w:val="both"/>
        <w:rPr>
          <w:rFonts w:ascii="Times New Roman" w:hAnsi="Times New Roman" w:cs="Times New Roman"/>
        </w:rPr>
      </w:pPr>
    </w:p>
    <w:p w:rsidR="00EC6F41" w:rsidRDefault="00EC6F41">
      <w:pPr>
        <w:pStyle w:val="ConsPlusNormal"/>
        <w:jc w:val="both"/>
        <w:rPr>
          <w:rFonts w:ascii="Times New Roman" w:hAnsi="Times New Roman" w:cs="Times New Roman"/>
        </w:rPr>
      </w:pPr>
    </w:p>
    <w:p w:rsidR="00EC6F41" w:rsidRPr="00E8491D" w:rsidRDefault="00EC6F41">
      <w:pPr>
        <w:pStyle w:val="ConsPlusNormal"/>
        <w:jc w:val="both"/>
        <w:rPr>
          <w:rFonts w:ascii="Times New Roman" w:hAnsi="Times New Roman" w:cs="Times New Roman"/>
        </w:rPr>
      </w:pPr>
    </w:p>
    <w:p w:rsidR="00A639C9" w:rsidRDefault="00A808CE" w:rsidP="00A808CE">
      <w:pPr>
        <w:pStyle w:val="ConsPlusNormal"/>
        <w:jc w:val="center"/>
        <w:rPr>
          <w:rFonts w:ascii="Times New Roman" w:hAnsi="Times New Roman" w:cs="Times New Roman"/>
          <w:bCs/>
          <w:sz w:val="26"/>
          <w:szCs w:val="26"/>
        </w:rPr>
      </w:pPr>
      <w:r w:rsidRPr="00A808CE">
        <w:rPr>
          <w:rFonts w:ascii="Times New Roman" w:hAnsi="Times New Roman" w:cs="Times New Roman"/>
          <w:bCs/>
          <w:sz w:val="26"/>
          <w:szCs w:val="26"/>
        </w:rPr>
        <w:t>Перечень</w:t>
      </w:r>
    </w:p>
    <w:p w:rsidR="00A808CE" w:rsidRPr="00270C3F" w:rsidRDefault="00A808CE" w:rsidP="00A808CE">
      <w:pPr>
        <w:pStyle w:val="ConsPlusNormal"/>
        <w:jc w:val="center"/>
        <w:rPr>
          <w:sz w:val="26"/>
          <w:szCs w:val="26"/>
          <w:shd w:val="clear" w:color="auto" w:fill="F1C100"/>
          <w:vertAlign w:val="superscript"/>
        </w:rPr>
      </w:pPr>
      <w:r w:rsidRPr="00A808CE">
        <w:rPr>
          <w:rFonts w:ascii="Times New Roman" w:hAnsi="Times New Roman" w:cs="Times New Roman"/>
          <w:bCs/>
          <w:sz w:val="26"/>
          <w:szCs w:val="26"/>
        </w:rPr>
        <w:t xml:space="preserve">индикаторов риска нарушения обязательных требований, проверяемых в рамках осуществления муниципального контроля </w:t>
      </w:r>
      <w:r w:rsidRPr="00A808CE">
        <w:rPr>
          <w:rFonts w:ascii="Times New Roman" w:hAnsi="Times New Roman" w:cs="Times New Roman"/>
          <w:sz w:val="26"/>
          <w:szCs w:val="26"/>
        </w:rPr>
        <w:t xml:space="preserve">на автомобильном транспорте и в дорожном хозяйстве </w:t>
      </w:r>
      <w:r w:rsidRPr="00A808CE">
        <w:rPr>
          <w:rFonts w:ascii="Times New Roman" w:hAnsi="Times New Roman" w:cs="Times New Roman"/>
          <w:spacing w:val="2"/>
          <w:sz w:val="26"/>
          <w:szCs w:val="26"/>
        </w:rPr>
        <w:t>на территории муниципального образования город Норильск</w:t>
      </w:r>
    </w:p>
    <w:p w:rsidR="0032123E" w:rsidRDefault="0032123E">
      <w:pPr>
        <w:pStyle w:val="ConsPlusNormal"/>
        <w:jc w:val="both"/>
        <w:rPr>
          <w:rFonts w:ascii="Times New Roman" w:hAnsi="Times New Roman" w:cs="Times New Roman"/>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5245"/>
        <w:gridCol w:w="1985"/>
        <w:gridCol w:w="1559"/>
      </w:tblGrid>
      <w:tr w:rsidR="00EF1569" w:rsidRPr="00EF1569" w:rsidTr="00DA0A6D">
        <w:tc>
          <w:tcPr>
            <w:tcW w:w="562" w:type="dxa"/>
          </w:tcPr>
          <w:p w:rsidR="00EF1569" w:rsidRPr="00EF1569" w:rsidRDefault="00EF1569" w:rsidP="00DA0A6D">
            <w:pPr>
              <w:widowControl w:val="0"/>
              <w:autoSpaceDE w:val="0"/>
              <w:autoSpaceDN w:val="0"/>
              <w:jc w:val="center"/>
              <w:rPr>
                <w:rFonts w:eastAsiaTheme="minorEastAsia"/>
                <w:sz w:val="26"/>
                <w:szCs w:val="26"/>
              </w:rPr>
            </w:pPr>
            <w:r w:rsidRPr="00EF1569">
              <w:rPr>
                <w:rFonts w:eastAsiaTheme="minorEastAsia"/>
                <w:sz w:val="26"/>
                <w:szCs w:val="26"/>
              </w:rPr>
              <w:t>№</w:t>
            </w:r>
          </w:p>
          <w:p w:rsidR="00EF1569" w:rsidRPr="00EF1569" w:rsidRDefault="00EF1569" w:rsidP="00DA0A6D">
            <w:pPr>
              <w:widowControl w:val="0"/>
              <w:autoSpaceDE w:val="0"/>
              <w:autoSpaceDN w:val="0"/>
              <w:jc w:val="center"/>
              <w:rPr>
                <w:rFonts w:eastAsiaTheme="minorEastAsia"/>
                <w:sz w:val="26"/>
                <w:szCs w:val="26"/>
              </w:rPr>
            </w:pPr>
            <w:r w:rsidRPr="00EF1569">
              <w:rPr>
                <w:rFonts w:eastAsiaTheme="minorEastAsia"/>
                <w:sz w:val="26"/>
                <w:szCs w:val="26"/>
              </w:rPr>
              <w:t>п/п</w:t>
            </w:r>
          </w:p>
        </w:tc>
        <w:tc>
          <w:tcPr>
            <w:tcW w:w="5245" w:type="dxa"/>
          </w:tcPr>
          <w:p w:rsidR="00EF1569" w:rsidRPr="00EF1569" w:rsidRDefault="00EF1569" w:rsidP="00DA0A6D">
            <w:pPr>
              <w:widowControl w:val="0"/>
              <w:autoSpaceDE w:val="0"/>
              <w:autoSpaceDN w:val="0"/>
              <w:jc w:val="center"/>
              <w:rPr>
                <w:rFonts w:eastAsiaTheme="minorEastAsia"/>
                <w:sz w:val="26"/>
                <w:szCs w:val="26"/>
              </w:rPr>
            </w:pPr>
            <w:r w:rsidRPr="00EF1569">
              <w:rPr>
                <w:rFonts w:eastAsiaTheme="minorEastAsia"/>
                <w:sz w:val="26"/>
                <w:szCs w:val="26"/>
              </w:rPr>
              <w:t>Наименование индикатора</w:t>
            </w:r>
          </w:p>
        </w:tc>
        <w:tc>
          <w:tcPr>
            <w:tcW w:w="1985" w:type="dxa"/>
          </w:tcPr>
          <w:p w:rsidR="00EF1569" w:rsidRPr="00EF1569" w:rsidRDefault="00EF1569" w:rsidP="00DA0A6D">
            <w:pPr>
              <w:widowControl w:val="0"/>
              <w:autoSpaceDE w:val="0"/>
              <w:autoSpaceDN w:val="0"/>
              <w:jc w:val="center"/>
              <w:rPr>
                <w:rFonts w:eastAsiaTheme="minorEastAsia"/>
                <w:sz w:val="26"/>
                <w:szCs w:val="26"/>
              </w:rPr>
            </w:pPr>
            <w:r w:rsidRPr="00EF1569">
              <w:rPr>
                <w:rFonts w:eastAsiaTheme="minorEastAsia"/>
                <w:sz w:val="26"/>
                <w:szCs w:val="26"/>
              </w:rPr>
              <w:t>Нормальное состояние для выбранного параметра (критерии оценки), единица измерения (при наличии)</w:t>
            </w:r>
          </w:p>
        </w:tc>
        <w:tc>
          <w:tcPr>
            <w:tcW w:w="1559" w:type="dxa"/>
          </w:tcPr>
          <w:p w:rsidR="00EF1569" w:rsidRPr="00EF1569" w:rsidRDefault="00EF1569" w:rsidP="00DA0A6D">
            <w:pPr>
              <w:widowControl w:val="0"/>
              <w:autoSpaceDE w:val="0"/>
              <w:autoSpaceDN w:val="0"/>
              <w:jc w:val="center"/>
              <w:rPr>
                <w:rFonts w:eastAsiaTheme="minorEastAsia"/>
                <w:sz w:val="26"/>
                <w:szCs w:val="26"/>
              </w:rPr>
            </w:pPr>
            <w:r w:rsidRPr="00EF1569">
              <w:rPr>
                <w:rFonts w:eastAsiaTheme="minorEastAsia"/>
                <w:sz w:val="26"/>
                <w:szCs w:val="26"/>
              </w:rPr>
              <w:t>Показатель индикатора риска</w:t>
            </w:r>
          </w:p>
        </w:tc>
      </w:tr>
      <w:tr w:rsidR="00EF1569" w:rsidRPr="00EF1569" w:rsidTr="00DA0A6D">
        <w:tc>
          <w:tcPr>
            <w:tcW w:w="562"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1.</w:t>
            </w:r>
          </w:p>
        </w:tc>
        <w:tc>
          <w:tcPr>
            <w:tcW w:w="8789" w:type="dxa"/>
            <w:gridSpan w:val="3"/>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В области автомобильных дорог и дорожной деятельности, установленных в отношении автомобильных дорог местного значения</w:t>
            </w:r>
          </w:p>
        </w:tc>
      </w:tr>
      <w:tr w:rsidR="00EF1569" w:rsidRPr="00EF1569" w:rsidTr="00DA0A6D">
        <w:tc>
          <w:tcPr>
            <w:tcW w:w="562"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1.1</w:t>
            </w:r>
          </w:p>
        </w:tc>
        <w:tc>
          <w:tcPr>
            <w:tcW w:w="5245" w:type="dxa"/>
          </w:tcPr>
          <w:p w:rsidR="00EF1569" w:rsidRPr="00EF1569" w:rsidRDefault="00EF1569" w:rsidP="00DA0A6D">
            <w:pPr>
              <w:widowControl w:val="0"/>
              <w:autoSpaceDE w:val="0"/>
              <w:autoSpaceDN w:val="0"/>
              <w:jc w:val="both"/>
              <w:rPr>
                <w:rFonts w:eastAsiaTheme="minorEastAsia"/>
                <w:sz w:val="26"/>
                <w:szCs w:val="26"/>
              </w:rPr>
            </w:pPr>
            <w:r w:rsidRPr="00EF1569">
              <w:rPr>
                <w:rFonts w:eastAsiaTheme="minorEastAsia" w:cs="Calibri"/>
                <w:sz w:val="26"/>
                <w:szCs w:val="26"/>
              </w:rPr>
              <w:t xml:space="preserve">Наличие сведений (обращения физических и юридических лиц в Администрацию города Норильска, фото и видео материалы) позволяющих определить намерения (признаки) подготовки или осуществления эксплуатации объектов дорожного сервиса, размещенных в полосах отвода и (или) придорожных полосах автомобильных дорог общего пользования </w:t>
            </w:r>
          </w:p>
        </w:tc>
        <w:tc>
          <w:tcPr>
            <w:tcW w:w="1985"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нет</w:t>
            </w:r>
          </w:p>
        </w:tc>
        <w:tc>
          <w:tcPr>
            <w:tcW w:w="1559"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да</w:t>
            </w:r>
          </w:p>
        </w:tc>
      </w:tr>
      <w:tr w:rsidR="00EF1569" w:rsidRPr="00EF1569" w:rsidTr="00DA0A6D">
        <w:tc>
          <w:tcPr>
            <w:tcW w:w="562"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1.2</w:t>
            </w:r>
          </w:p>
        </w:tc>
        <w:tc>
          <w:tcPr>
            <w:tcW w:w="5245" w:type="dxa"/>
          </w:tcPr>
          <w:p w:rsidR="00EF1569" w:rsidRPr="00EF1569" w:rsidRDefault="00EF1569" w:rsidP="00DA0A6D">
            <w:pPr>
              <w:widowControl w:val="0"/>
              <w:autoSpaceDE w:val="0"/>
              <w:autoSpaceDN w:val="0"/>
              <w:jc w:val="both"/>
              <w:rPr>
                <w:rFonts w:eastAsiaTheme="minorEastAsia"/>
                <w:sz w:val="26"/>
                <w:szCs w:val="26"/>
              </w:rPr>
            </w:pPr>
            <w:r w:rsidRPr="00EF1569">
              <w:rPr>
                <w:rFonts w:eastAsiaTheme="minorEastAsia"/>
                <w:sz w:val="26"/>
                <w:szCs w:val="26"/>
              </w:rPr>
              <w:t xml:space="preserve">Наличие сведений (обращения физических и </w:t>
            </w:r>
            <w:r w:rsidRPr="00EF1569">
              <w:rPr>
                <w:rFonts w:eastAsiaTheme="minorEastAsia"/>
                <w:sz w:val="26"/>
                <w:szCs w:val="26"/>
              </w:rPr>
              <w:lastRenderedPageBreak/>
              <w:t>юридических лиц в Администрацию города Норильска, фото и видео материалы) позволяющие определить намерения (признаки) подготовки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tc>
        <w:tc>
          <w:tcPr>
            <w:tcW w:w="1985"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lastRenderedPageBreak/>
              <w:t>нет</w:t>
            </w:r>
          </w:p>
        </w:tc>
        <w:tc>
          <w:tcPr>
            <w:tcW w:w="1559"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да</w:t>
            </w:r>
          </w:p>
        </w:tc>
      </w:tr>
      <w:tr w:rsidR="00EF1569" w:rsidRPr="00EF1569" w:rsidTr="00DA0A6D">
        <w:tc>
          <w:tcPr>
            <w:tcW w:w="562"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lastRenderedPageBreak/>
              <w:t>2.</w:t>
            </w:r>
          </w:p>
        </w:tc>
        <w:tc>
          <w:tcPr>
            <w:tcW w:w="8789" w:type="dxa"/>
            <w:gridSpan w:val="3"/>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В области организации регулярных перевозок</w:t>
            </w:r>
          </w:p>
        </w:tc>
      </w:tr>
      <w:tr w:rsidR="00EF1569" w:rsidRPr="00EF1569" w:rsidTr="00DA0A6D">
        <w:tc>
          <w:tcPr>
            <w:tcW w:w="562"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2.1</w:t>
            </w:r>
          </w:p>
        </w:tc>
        <w:tc>
          <w:tcPr>
            <w:tcW w:w="5245" w:type="dxa"/>
          </w:tcPr>
          <w:p w:rsidR="00EF1569" w:rsidRPr="00EF1569" w:rsidRDefault="00EF1569" w:rsidP="00DA0A6D">
            <w:pPr>
              <w:widowControl w:val="0"/>
              <w:autoSpaceDE w:val="0"/>
              <w:autoSpaceDN w:val="0"/>
              <w:jc w:val="both"/>
              <w:rPr>
                <w:rFonts w:eastAsiaTheme="minorEastAsia"/>
                <w:sz w:val="26"/>
                <w:szCs w:val="26"/>
              </w:rPr>
            </w:pPr>
            <w:r w:rsidRPr="00EF1569">
              <w:rPr>
                <w:rFonts w:eastAsiaTheme="minorEastAsia"/>
                <w:sz w:val="26"/>
                <w:szCs w:val="26"/>
              </w:rPr>
              <w:t>осуществление перевозки пассажиров самостоятельно, без привлечения третьих лиц (юридических лиц или индивидуальных предпринимателей)</w:t>
            </w:r>
          </w:p>
        </w:tc>
        <w:tc>
          <w:tcPr>
            <w:tcW w:w="1985"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да</w:t>
            </w:r>
          </w:p>
        </w:tc>
        <w:tc>
          <w:tcPr>
            <w:tcW w:w="1559"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нет</w:t>
            </w:r>
          </w:p>
        </w:tc>
      </w:tr>
      <w:tr w:rsidR="00EF1569" w:rsidRPr="00EF1569" w:rsidTr="00DA0A6D">
        <w:tc>
          <w:tcPr>
            <w:tcW w:w="562"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2.3</w:t>
            </w:r>
          </w:p>
        </w:tc>
        <w:tc>
          <w:tcPr>
            <w:tcW w:w="5245" w:type="dxa"/>
          </w:tcPr>
          <w:p w:rsidR="00EF1569" w:rsidRPr="00EF1569" w:rsidRDefault="00EF1569" w:rsidP="00DA0A6D">
            <w:pPr>
              <w:widowControl w:val="0"/>
              <w:autoSpaceDE w:val="0"/>
              <w:autoSpaceDN w:val="0"/>
              <w:jc w:val="both"/>
              <w:rPr>
                <w:rFonts w:eastAsiaTheme="minorEastAsia"/>
                <w:sz w:val="26"/>
                <w:szCs w:val="26"/>
              </w:rPr>
            </w:pPr>
            <w:r w:rsidRPr="00EF1569">
              <w:rPr>
                <w:rFonts w:eastAsiaTheme="minorEastAsia"/>
                <w:sz w:val="26"/>
                <w:szCs w:val="26"/>
              </w:rPr>
              <w:t>осуществление перевозки пассажиров и багажа в соответствии с расписанием движения указанному в приложениях:</w:t>
            </w:r>
          </w:p>
          <w:p w:rsidR="00EF1569" w:rsidRPr="00EF1569" w:rsidRDefault="00EF1569" w:rsidP="00DA0A6D">
            <w:pPr>
              <w:widowControl w:val="0"/>
              <w:autoSpaceDE w:val="0"/>
              <w:autoSpaceDN w:val="0"/>
              <w:jc w:val="both"/>
              <w:rPr>
                <w:rFonts w:eastAsiaTheme="minorEastAsia"/>
                <w:sz w:val="26"/>
                <w:szCs w:val="26"/>
              </w:rPr>
            </w:pPr>
            <w:r w:rsidRPr="00EF1569">
              <w:rPr>
                <w:rFonts w:eastAsiaTheme="minorEastAsia"/>
                <w:sz w:val="26"/>
                <w:szCs w:val="26"/>
              </w:rPr>
              <w:t>– к свидетельствам об осуществлении перевозок по маршруту регулярных перевозок, выданным по результатам открытого конкурса на право осуществления перевозок по муниципальным маршрутам регулярных перевозок по нерегулируемым тарифам на территории муниципального образования город Норильск;</w:t>
            </w:r>
          </w:p>
          <w:p w:rsidR="00EF1569" w:rsidRPr="00EF1569" w:rsidRDefault="00EF1569" w:rsidP="00DA0A6D">
            <w:pPr>
              <w:widowControl w:val="0"/>
              <w:autoSpaceDE w:val="0"/>
              <w:autoSpaceDN w:val="0"/>
              <w:jc w:val="both"/>
              <w:rPr>
                <w:rFonts w:eastAsiaTheme="minorEastAsia"/>
                <w:sz w:val="26"/>
                <w:szCs w:val="26"/>
              </w:rPr>
            </w:pPr>
            <w:r w:rsidRPr="00EF1569">
              <w:rPr>
                <w:rFonts w:eastAsiaTheme="minorEastAsia"/>
                <w:sz w:val="26"/>
                <w:szCs w:val="26"/>
              </w:rPr>
              <w:t>– к заключенным муниципальным контрактам на выполнение работ, связанных с осуществлением регулярных перевозок пассажиров и багажа автомобильным транспортом по регулируемым тарифам на территории муниципального образования город Норильск</w:t>
            </w:r>
          </w:p>
        </w:tc>
        <w:tc>
          <w:tcPr>
            <w:tcW w:w="1985"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не ниже 70%</w:t>
            </w:r>
          </w:p>
        </w:tc>
        <w:tc>
          <w:tcPr>
            <w:tcW w:w="1559"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ниже 70%</w:t>
            </w:r>
          </w:p>
        </w:tc>
      </w:tr>
      <w:tr w:rsidR="00EF1569" w:rsidRPr="00EF1569" w:rsidTr="00DA0A6D">
        <w:tc>
          <w:tcPr>
            <w:tcW w:w="562"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2.4</w:t>
            </w:r>
          </w:p>
        </w:tc>
        <w:tc>
          <w:tcPr>
            <w:tcW w:w="5245" w:type="dxa"/>
          </w:tcPr>
          <w:p w:rsidR="00EF1569" w:rsidRPr="00EF1569" w:rsidRDefault="00EF1569" w:rsidP="00DA0A6D">
            <w:pPr>
              <w:widowControl w:val="0"/>
              <w:autoSpaceDE w:val="0"/>
              <w:autoSpaceDN w:val="0"/>
              <w:jc w:val="both"/>
              <w:rPr>
                <w:rFonts w:eastAsiaTheme="minorEastAsia"/>
                <w:sz w:val="26"/>
                <w:szCs w:val="26"/>
              </w:rPr>
            </w:pPr>
            <w:r w:rsidRPr="00EF1569">
              <w:rPr>
                <w:rFonts w:eastAsiaTheme="minorEastAsia"/>
                <w:sz w:val="26"/>
                <w:szCs w:val="26"/>
              </w:rPr>
              <w:t>обязательное соблюдение схем движения (улицы, автомобильные дороги, по которым предполагается движение между остановочными пунктами по муниципальным маршрутам), установленным в соответствии реестром муниципальных маршрутов регулярных перевозок, утвержденным распоряжением Администрации города Норильска, издаваемым заместителем Главы города Норильска по городскому хозяйству</w:t>
            </w:r>
          </w:p>
        </w:tc>
        <w:tc>
          <w:tcPr>
            <w:tcW w:w="1985"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да</w:t>
            </w:r>
          </w:p>
        </w:tc>
        <w:tc>
          <w:tcPr>
            <w:tcW w:w="1559" w:type="dxa"/>
          </w:tcPr>
          <w:p w:rsidR="00EF1569" w:rsidRPr="00EF1569" w:rsidRDefault="00EF1569" w:rsidP="00DA0A6D">
            <w:pPr>
              <w:widowControl w:val="0"/>
              <w:autoSpaceDE w:val="0"/>
              <w:autoSpaceDN w:val="0"/>
              <w:rPr>
                <w:rFonts w:eastAsiaTheme="minorEastAsia"/>
                <w:sz w:val="26"/>
                <w:szCs w:val="26"/>
              </w:rPr>
            </w:pPr>
            <w:r w:rsidRPr="00EF1569">
              <w:rPr>
                <w:rFonts w:eastAsiaTheme="minorEastAsia"/>
                <w:sz w:val="26"/>
                <w:szCs w:val="26"/>
              </w:rPr>
              <w:t>нет</w:t>
            </w:r>
          </w:p>
        </w:tc>
      </w:tr>
    </w:tbl>
    <w:p w:rsidR="00EF1569" w:rsidRPr="00A808CE" w:rsidRDefault="00EF1569">
      <w:pPr>
        <w:pStyle w:val="ConsPlusNormal"/>
        <w:jc w:val="both"/>
        <w:rPr>
          <w:rFonts w:ascii="Times New Roman" w:hAnsi="Times New Roman" w:cs="Times New Roman"/>
          <w:sz w:val="26"/>
          <w:szCs w:val="26"/>
        </w:rPr>
      </w:pPr>
    </w:p>
    <w:sectPr w:rsidR="00EF1569" w:rsidRPr="00A808CE" w:rsidSect="006C51F7">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23E"/>
    <w:rsid w:val="00084E5F"/>
    <w:rsid w:val="0032123E"/>
    <w:rsid w:val="005A3653"/>
    <w:rsid w:val="006335A3"/>
    <w:rsid w:val="0063595A"/>
    <w:rsid w:val="00670090"/>
    <w:rsid w:val="00677BAC"/>
    <w:rsid w:val="00861FE9"/>
    <w:rsid w:val="009F1E58"/>
    <w:rsid w:val="00A639C9"/>
    <w:rsid w:val="00A808CE"/>
    <w:rsid w:val="00AD32E8"/>
    <w:rsid w:val="00BB752D"/>
    <w:rsid w:val="00C54261"/>
    <w:rsid w:val="00E8491D"/>
    <w:rsid w:val="00EC6F41"/>
    <w:rsid w:val="00EE04D1"/>
    <w:rsid w:val="00EF1569"/>
    <w:rsid w:val="00F93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2BE118-E429-476E-ADC1-9A9FC9701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56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32123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2123E"/>
    <w:pPr>
      <w:widowControl w:val="0"/>
      <w:autoSpaceDE w:val="0"/>
      <w:autoSpaceDN w:val="0"/>
      <w:spacing w:after="0" w:line="240" w:lineRule="auto"/>
    </w:pPr>
    <w:rPr>
      <w:rFonts w:ascii="Calibri" w:eastAsiaTheme="minorEastAsia" w:hAnsi="Calibri" w:cs="Calibri"/>
      <w:b/>
      <w:lang w:eastAsia="ru-RU"/>
    </w:rPr>
  </w:style>
  <w:style w:type="character" w:customStyle="1" w:styleId="ConsPlusNormal1">
    <w:name w:val="ConsPlusNormal1"/>
    <w:link w:val="ConsPlusNormal"/>
    <w:locked/>
    <w:rsid w:val="00A808CE"/>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431</Words>
  <Characters>2459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Мясоедова Вероника Александровна</dc:creator>
  <cp:keywords/>
  <dc:description/>
  <cp:lastModifiedBy>Гырнец Светлана Васильевна</cp:lastModifiedBy>
  <cp:revision>11</cp:revision>
  <dcterms:created xsi:type="dcterms:W3CDTF">2023-05-24T10:17:00Z</dcterms:created>
  <dcterms:modified xsi:type="dcterms:W3CDTF">2023-06-17T05:07:00Z</dcterms:modified>
</cp:coreProperties>
</file>